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C69D" w14:textId="77777777" w:rsidR="00000000" w:rsidRDefault="00C432C3" w:rsidP="00685D84">
      <w:pPr>
        <w:pStyle w:val="Heading1"/>
        <w:rPr>
          <w:noProof/>
        </w:rPr>
      </w:pPr>
      <w:r>
        <w:rPr>
          <w:noProof/>
        </w:rPr>
        <w:t>Writing About People Respectfully</w:t>
      </w:r>
    </w:p>
    <w:p w14:paraId="5D326760" w14:textId="77777777" w:rsidR="00C432C3" w:rsidRDefault="00C432C3" w:rsidP="00C432C3">
      <w:pPr>
        <w:rPr>
          <w:i/>
          <w:sz w:val="28"/>
        </w:rPr>
      </w:pPr>
      <w:r>
        <w:t xml:space="preserve">Writers can find a lot of ways to embarrass themselves when they write about people: for starters, they can use out-of-date names, discriminatory language, and belittling terms. Because these mistakes impact a writer’s credibility, great writers pay attention to these concerns. Correct references to people </w:t>
      </w:r>
      <w:proofErr w:type="gramStart"/>
      <w:r>
        <w:t>don’t</w:t>
      </w:r>
      <w:proofErr w:type="gramEnd"/>
      <w:r>
        <w:t xml:space="preserve"> need to be mannered or awkward. They just need to be accurate and up to date.</w:t>
      </w:r>
    </w:p>
    <w:p w14:paraId="71B4AEE8" w14:textId="77777777" w:rsidR="00C432C3" w:rsidRPr="00C432C3" w:rsidRDefault="00C432C3" w:rsidP="00B55076">
      <w:pPr>
        <w:pStyle w:val="Heading2"/>
      </w:pPr>
      <w:r>
        <w:t>Ten ways to avoid putting your foot in your mouth:</w:t>
      </w:r>
    </w:p>
    <w:p w14:paraId="3BA6DCBD" w14:textId="77777777" w:rsidR="00C432C3" w:rsidRDefault="004F3A62" w:rsidP="00C432C3">
      <w:pPr>
        <w:pStyle w:val="ListNumber"/>
      </w:pPr>
      <w:r>
        <w:t xml:space="preserve">Use language inclusive of all gender identities when referring to </w:t>
      </w:r>
      <w:proofErr w:type="gramStart"/>
      <w:r>
        <w:t>particular jobs</w:t>
      </w:r>
      <w:proofErr w:type="gramEnd"/>
      <w:r>
        <w:t xml:space="preserve"> or actions. </w:t>
      </w:r>
      <w:r w:rsidR="00C432C3">
        <w:t>Consider this:</w:t>
      </w:r>
    </w:p>
    <w:p w14:paraId="0B6F0C37" w14:textId="77777777" w:rsidR="00C432C3" w:rsidRDefault="00C432C3" w:rsidP="004F3A62">
      <w:pPr>
        <w:spacing w:line="300" w:lineRule="atLeast"/>
        <w:ind w:firstLine="720"/>
      </w:pPr>
      <w:r>
        <w:t xml:space="preserve">Many pirates were accomplished </w:t>
      </w:r>
      <w:r>
        <w:rPr>
          <w:i/>
        </w:rPr>
        <w:t>swordsmen</w:t>
      </w:r>
      <w:r>
        <w:t>.</w:t>
      </w:r>
    </w:p>
    <w:p w14:paraId="3E344D62" w14:textId="77777777" w:rsidR="00C432C3" w:rsidRDefault="00C432C3" w:rsidP="004F3A62">
      <w:pPr>
        <w:spacing w:line="300" w:lineRule="atLeast"/>
        <w:ind w:left="720" w:firstLine="720"/>
      </w:pPr>
      <w:r>
        <w:t xml:space="preserve">Sure, a lot of pirates were male. But some </w:t>
      </w:r>
      <w:proofErr w:type="gramStart"/>
      <w:r>
        <w:t>weren’t</w:t>
      </w:r>
      <w:proofErr w:type="gramEnd"/>
      <w:r>
        <w:t>. This is more accurate:</w:t>
      </w:r>
    </w:p>
    <w:p w14:paraId="7789734D" w14:textId="77777777" w:rsidR="00C432C3" w:rsidRDefault="00C432C3" w:rsidP="004F3A62">
      <w:pPr>
        <w:spacing w:line="300" w:lineRule="atLeast"/>
        <w:ind w:firstLine="720"/>
      </w:pPr>
      <w:r>
        <w:t xml:space="preserve">Many pirates were accomplished </w:t>
      </w:r>
      <w:r>
        <w:rPr>
          <w:i/>
        </w:rPr>
        <w:t>swashbucklers</w:t>
      </w:r>
      <w:r>
        <w:t>.</w:t>
      </w:r>
    </w:p>
    <w:p w14:paraId="6F1954D8" w14:textId="77777777" w:rsidR="00C432C3" w:rsidRDefault="00C432C3" w:rsidP="004F3A62">
      <w:pPr>
        <w:ind w:left="1440"/>
      </w:pPr>
      <w:r>
        <w:t xml:space="preserve">These mistakes </w:t>
      </w:r>
      <w:r w:rsidR="004F3A62">
        <w:t xml:space="preserve">occur when people assume that professions are </w:t>
      </w:r>
      <w:proofErr w:type="gramStart"/>
      <w:r w:rsidR="004F3A62">
        <w:t>gender-specific</w:t>
      </w:r>
      <w:proofErr w:type="gramEnd"/>
      <w:r>
        <w:t>.</w:t>
      </w:r>
      <w:r w:rsidR="004F3A62">
        <w:t xml:space="preserve"> Certain professions may be dominated by </w:t>
      </w:r>
      <w:proofErr w:type="gramStart"/>
      <w:r w:rsidR="004F3A62">
        <w:t>particular genders</w:t>
      </w:r>
      <w:proofErr w:type="gramEnd"/>
      <w:r w:rsidR="004F3A62">
        <w:t>, but gender-inclusive language can help you avoid both alienating minority gender identities and perpetuating gender inequities in that profession.</w:t>
      </w:r>
    </w:p>
    <w:p w14:paraId="39D8D6AF" w14:textId="77777777" w:rsidR="00C432C3" w:rsidRDefault="00C432C3" w:rsidP="00C432C3">
      <w:pPr>
        <w:pStyle w:val="ListNumber"/>
      </w:pPr>
      <w:r>
        <w:t xml:space="preserve">Use plural pronouns so you </w:t>
      </w:r>
      <w:proofErr w:type="gramStart"/>
      <w:r>
        <w:t>don’t</w:t>
      </w:r>
      <w:proofErr w:type="gramEnd"/>
      <w:r>
        <w:t xml:space="preserve"> have to use gendered language you may not mean.</w:t>
      </w:r>
    </w:p>
    <w:p w14:paraId="4EB0C6EC" w14:textId="77777777" w:rsidR="00C432C3" w:rsidRDefault="00C432C3" w:rsidP="004F3A62">
      <w:pPr>
        <w:ind w:firstLine="720"/>
      </w:pPr>
      <w:r>
        <w:rPr>
          <w:i/>
        </w:rPr>
        <w:t>The reader</w:t>
      </w:r>
      <w:r>
        <w:t xml:space="preserve"> might notice </w:t>
      </w:r>
      <w:r>
        <w:rPr>
          <w:i/>
        </w:rPr>
        <w:t>her</w:t>
      </w:r>
      <w:r>
        <w:t xml:space="preserve"> attention wandering during the scene.</w:t>
      </w:r>
    </w:p>
    <w:p w14:paraId="6ECC3348" w14:textId="77777777" w:rsidR="00C432C3" w:rsidRDefault="00C432C3" w:rsidP="00C432C3">
      <w:pPr>
        <w:ind w:left="1440"/>
      </w:pPr>
      <w:r>
        <w:t>Are all readers of the scene in question female?  Unlikely.</w:t>
      </w:r>
    </w:p>
    <w:p w14:paraId="2AD85269" w14:textId="77777777" w:rsidR="00C432C3" w:rsidRDefault="00C432C3" w:rsidP="004F3A62">
      <w:pPr>
        <w:ind w:firstLine="720"/>
      </w:pPr>
      <w:r>
        <w:rPr>
          <w:i/>
        </w:rPr>
        <w:t>Readers</w:t>
      </w:r>
      <w:r>
        <w:t xml:space="preserve"> might notice </w:t>
      </w:r>
      <w:r>
        <w:rPr>
          <w:i/>
        </w:rPr>
        <w:t>their</w:t>
      </w:r>
      <w:r>
        <w:t xml:space="preserve"> attention wandering during the scene.</w:t>
      </w:r>
    </w:p>
    <w:p w14:paraId="47DE465C" w14:textId="77777777" w:rsidR="004F3A62" w:rsidRDefault="004F3A62" w:rsidP="004F3A62">
      <w:pPr>
        <w:pStyle w:val="ListNumber"/>
      </w:pPr>
      <w:r>
        <w:t xml:space="preserve">Use the singular </w:t>
      </w:r>
      <w:r w:rsidRPr="004F3A62">
        <w:rPr>
          <w:i/>
          <w:iCs/>
        </w:rPr>
        <w:t>they</w:t>
      </w:r>
      <w:r>
        <w:t xml:space="preserve"> to refer to non-binary individuals and as a gender-neutral pronoun.</w:t>
      </w:r>
    </w:p>
    <w:p w14:paraId="353E0473" w14:textId="77777777" w:rsidR="004F3A62" w:rsidRDefault="004F3A62" w:rsidP="004F3A62">
      <w:pPr>
        <w:pStyle w:val="ListNumber"/>
        <w:numPr>
          <w:ilvl w:val="0"/>
          <w:numId w:val="0"/>
        </w:numPr>
        <w:ind w:left="720"/>
      </w:pPr>
      <w:r>
        <w:t xml:space="preserve">Everyone must take </w:t>
      </w:r>
      <w:r w:rsidRPr="004F3A62">
        <w:rPr>
          <w:i/>
          <w:iCs/>
        </w:rPr>
        <w:t>his</w:t>
      </w:r>
      <w:r>
        <w:t xml:space="preserve"> seat.</w:t>
      </w:r>
    </w:p>
    <w:p w14:paraId="273D7F21" w14:textId="77777777" w:rsidR="004F3A62" w:rsidRDefault="004F3A62" w:rsidP="004F3A62">
      <w:pPr>
        <w:pStyle w:val="ListNumber"/>
        <w:numPr>
          <w:ilvl w:val="0"/>
          <w:numId w:val="0"/>
        </w:numPr>
        <w:ind w:left="1440"/>
      </w:pPr>
      <w:r w:rsidRPr="004F3A62">
        <w:rPr>
          <w:i/>
          <w:iCs/>
        </w:rPr>
        <w:t>Everyone</w:t>
      </w:r>
      <w:r>
        <w:rPr>
          <w:i/>
          <w:iCs/>
        </w:rPr>
        <w:t xml:space="preserve"> </w:t>
      </w:r>
      <w:r>
        <w:t xml:space="preserve">is a singular indefinite pronoun, and for agreement purposes, people have used the singular pronoun </w:t>
      </w:r>
      <w:proofErr w:type="gramStart"/>
      <w:r>
        <w:rPr>
          <w:i/>
          <w:iCs/>
        </w:rPr>
        <w:t>his</w:t>
      </w:r>
      <w:proofErr w:type="gramEnd"/>
      <w:r>
        <w:rPr>
          <w:i/>
          <w:iCs/>
        </w:rPr>
        <w:t xml:space="preserve"> </w:t>
      </w:r>
      <w:r>
        <w:t xml:space="preserve">to </w:t>
      </w:r>
      <w:proofErr w:type="gramStart"/>
      <w:r>
        <w:t>refer back</w:t>
      </w:r>
      <w:proofErr w:type="gramEnd"/>
      <w:r>
        <w:t xml:space="preserve"> to </w:t>
      </w:r>
      <w:r w:rsidRPr="004F3A62">
        <w:t>everyone</w:t>
      </w:r>
      <w:r>
        <w:t>. B</w:t>
      </w:r>
      <w:r w:rsidRPr="004F3A62">
        <w:t>ut</w:t>
      </w:r>
      <w:r>
        <w:t xml:space="preserve"> </w:t>
      </w:r>
      <w:r>
        <w:rPr>
          <w:i/>
          <w:iCs/>
        </w:rPr>
        <w:t xml:space="preserve">his </w:t>
      </w:r>
      <w:r>
        <w:t xml:space="preserve">excludes other gender identities, so unless you know everyone in the group is male, use the singular </w:t>
      </w:r>
      <w:r w:rsidRPr="004F3A62">
        <w:rPr>
          <w:i/>
          <w:iCs/>
        </w:rPr>
        <w:t>they</w:t>
      </w:r>
      <w:r>
        <w:t xml:space="preserve"> instead as a gender-inclusive singular pronoun.</w:t>
      </w:r>
    </w:p>
    <w:p w14:paraId="7D42D62C" w14:textId="77777777" w:rsidR="004F3A62" w:rsidRPr="004F3A62" w:rsidRDefault="004F3A62" w:rsidP="004F3A62">
      <w:pPr>
        <w:pStyle w:val="ListNumber"/>
        <w:numPr>
          <w:ilvl w:val="0"/>
          <w:numId w:val="0"/>
        </w:numPr>
        <w:ind w:left="360" w:hanging="360"/>
      </w:pPr>
      <w:r>
        <w:rPr>
          <w:i/>
          <w:iCs/>
        </w:rPr>
        <w:tab/>
      </w:r>
      <w:r>
        <w:rPr>
          <w:i/>
          <w:iCs/>
        </w:rPr>
        <w:tab/>
      </w:r>
      <w:r>
        <w:t xml:space="preserve">Everyone must take </w:t>
      </w:r>
      <w:r w:rsidRPr="004F3A62">
        <w:rPr>
          <w:i/>
          <w:iCs/>
        </w:rPr>
        <w:t xml:space="preserve">their </w:t>
      </w:r>
      <w:r>
        <w:t>seat.</w:t>
      </w:r>
    </w:p>
    <w:p w14:paraId="081F573D" w14:textId="77777777" w:rsidR="004F3A62" w:rsidRPr="004F3A62" w:rsidRDefault="004F3A62" w:rsidP="004F3A62">
      <w:pPr>
        <w:pStyle w:val="ListNumber"/>
        <w:numPr>
          <w:ilvl w:val="0"/>
          <w:numId w:val="0"/>
        </w:numPr>
        <w:ind w:left="1440"/>
      </w:pPr>
      <w:r>
        <w:t xml:space="preserve">The use of </w:t>
      </w:r>
      <w:proofErr w:type="gramStart"/>
      <w:r>
        <w:rPr>
          <w:i/>
          <w:iCs/>
        </w:rPr>
        <w:t>they</w:t>
      </w:r>
      <w:proofErr w:type="gramEnd"/>
      <w:r>
        <w:rPr>
          <w:i/>
          <w:iCs/>
        </w:rPr>
        <w:t xml:space="preserve"> </w:t>
      </w:r>
      <w:r>
        <w:t xml:space="preserve">as a singular pronoun has a long history stretching back to the fourteenth century, and in the twenty-first century, the singular </w:t>
      </w:r>
      <w:r w:rsidRPr="004F3A62">
        <w:rPr>
          <w:i/>
          <w:iCs/>
        </w:rPr>
        <w:t>they</w:t>
      </w:r>
      <w:r>
        <w:t xml:space="preserve"> </w:t>
      </w:r>
      <w:proofErr w:type="gramStart"/>
      <w:r>
        <w:t>has</w:t>
      </w:r>
      <w:proofErr w:type="gramEnd"/>
      <w:r>
        <w:t xml:space="preserve"> gained wide-spread acceptance by style guides, dictionaries, and writing centers. </w:t>
      </w:r>
    </w:p>
    <w:p w14:paraId="35627F60" w14:textId="77777777" w:rsidR="00C432C3" w:rsidRDefault="00C432C3" w:rsidP="00C432C3">
      <w:pPr>
        <w:pStyle w:val="ListNumber"/>
      </w:pPr>
      <w:r>
        <w:t xml:space="preserve">Try </w:t>
      </w:r>
      <w:r w:rsidRPr="004F3A62">
        <w:rPr>
          <w:i/>
          <w:iCs/>
        </w:rPr>
        <w:t>humans</w:t>
      </w:r>
      <w:r>
        <w:t xml:space="preserve"> or </w:t>
      </w:r>
      <w:r w:rsidRPr="004F3A62">
        <w:rPr>
          <w:i/>
          <w:iCs/>
        </w:rPr>
        <w:t>people</w:t>
      </w:r>
      <w:r>
        <w:t xml:space="preserve"> instead of </w:t>
      </w:r>
      <w:r w:rsidRPr="004F3A62">
        <w:rPr>
          <w:i/>
          <w:iCs/>
        </w:rPr>
        <w:t>man</w:t>
      </w:r>
      <w:r>
        <w:t xml:space="preserve"> or </w:t>
      </w:r>
      <w:r w:rsidRPr="004F3A62">
        <w:rPr>
          <w:i/>
          <w:iCs/>
        </w:rPr>
        <w:t>mankind</w:t>
      </w:r>
      <w:r>
        <w:t xml:space="preserve">. </w:t>
      </w:r>
    </w:p>
    <w:p w14:paraId="1EBD52E7" w14:textId="77777777" w:rsidR="00C432C3" w:rsidRDefault="00C432C3" w:rsidP="00C432C3">
      <w:pPr>
        <w:pStyle w:val="ListNumber"/>
      </w:pPr>
      <w:r>
        <w:t xml:space="preserve">Look it up: Proper names for people and groups change over time, so take time to check. </w:t>
      </w:r>
      <w:r w:rsidR="004F3A62">
        <w:t>Consult authorities from the groups of people themselves to determine how they self-identify. It would, for example, be considered a racial slur to use the word formerly commonplace to refer to the Inuit</w:t>
      </w:r>
      <w:r>
        <w:t>.</w:t>
      </w:r>
    </w:p>
    <w:p w14:paraId="60223744" w14:textId="77777777" w:rsidR="004F3A62" w:rsidRDefault="004F3A62" w:rsidP="00C432C3">
      <w:pPr>
        <w:pStyle w:val="ListNumber"/>
      </w:pPr>
      <w:r>
        <w:t>Exercise care when using terms that have been reclaimed by marginalized groups. If you are not part of that group, using a term that was once derogatory but has since been reclaimed could cause offense.</w:t>
      </w:r>
    </w:p>
    <w:p w14:paraId="1BAF1342" w14:textId="77777777" w:rsidR="00C432C3" w:rsidRDefault="00C432C3" w:rsidP="00C432C3">
      <w:pPr>
        <w:pStyle w:val="ListNumber"/>
      </w:pPr>
      <w:r>
        <w:t xml:space="preserve">Nix feminine word endings. A </w:t>
      </w:r>
      <w:r w:rsidRPr="004F3A62">
        <w:rPr>
          <w:i/>
          <w:iCs/>
        </w:rPr>
        <w:t>poetess</w:t>
      </w:r>
      <w:r>
        <w:t xml:space="preserve"> has the same job as a </w:t>
      </w:r>
      <w:r w:rsidRPr="004F3A62">
        <w:rPr>
          <w:i/>
          <w:iCs/>
        </w:rPr>
        <w:t>poet</w:t>
      </w:r>
      <w:r>
        <w:t>, and she does not need to be singled out with a suffix.</w:t>
      </w:r>
    </w:p>
    <w:p w14:paraId="26827F81" w14:textId="77777777" w:rsidR="00C432C3" w:rsidRDefault="00C432C3" w:rsidP="00C432C3">
      <w:pPr>
        <w:pStyle w:val="ListNumber"/>
      </w:pPr>
      <w:r>
        <w:lastRenderedPageBreak/>
        <w:t xml:space="preserve">Narrow it down. Many potentially offensive terms are very broad. To avoid them, be precise. </w:t>
      </w:r>
      <w:r w:rsidR="004F3A62">
        <w:t>U</w:t>
      </w:r>
      <w:r>
        <w:t xml:space="preserve">sing the </w:t>
      </w:r>
      <w:r w:rsidR="004F3A62">
        <w:t xml:space="preserve">specific </w:t>
      </w:r>
      <w:r>
        <w:t xml:space="preserve">name of the tribe </w:t>
      </w:r>
      <w:proofErr w:type="gramStart"/>
      <w:r>
        <w:t>you’re</w:t>
      </w:r>
      <w:proofErr w:type="gramEnd"/>
      <w:r>
        <w:t xml:space="preserve"> referencing</w:t>
      </w:r>
      <w:r w:rsidR="004F3A62">
        <w:t>, for example, would be better than using a blanket term for indigenous peoples</w:t>
      </w:r>
      <w:r>
        <w:t>.</w:t>
      </w:r>
    </w:p>
    <w:p w14:paraId="77623800" w14:textId="77777777" w:rsidR="00C432C3" w:rsidRDefault="00C432C3" w:rsidP="00C432C3">
      <w:pPr>
        <w:pStyle w:val="ListNumber"/>
      </w:pPr>
      <w:r>
        <w:t xml:space="preserve">Say what you mean. Often euphemisms are out-of-date, and sometimes </w:t>
      </w:r>
      <w:proofErr w:type="gramStart"/>
      <w:r>
        <w:t>they’re</w:t>
      </w:r>
      <w:proofErr w:type="gramEnd"/>
      <w:r>
        <w:t xml:space="preserve"> offensive. So come right out with it: people </w:t>
      </w:r>
      <w:proofErr w:type="gramStart"/>
      <w:r>
        <w:t>aren’t</w:t>
      </w:r>
      <w:proofErr w:type="gramEnd"/>
      <w:r>
        <w:t xml:space="preserve"> </w:t>
      </w:r>
      <w:r w:rsidRPr="004F3A62">
        <w:rPr>
          <w:i/>
          <w:iCs/>
        </w:rPr>
        <w:t>ungentlemanly</w:t>
      </w:r>
      <w:r w:rsidR="004F3A62">
        <w:t>;</w:t>
      </w:r>
      <w:r>
        <w:t xml:space="preserve"> </w:t>
      </w:r>
      <w:proofErr w:type="gramStart"/>
      <w:r>
        <w:t>they’re</w:t>
      </w:r>
      <w:proofErr w:type="gramEnd"/>
      <w:r>
        <w:t xml:space="preserve"> rude. Frightened people are not </w:t>
      </w:r>
      <w:r w:rsidRPr="004F3A62">
        <w:rPr>
          <w:i/>
          <w:iCs/>
        </w:rPr>
        <w:t>unmanned</w:t>
      </w:r>
      <w:r w:rsidR="004F3A62">
        <w:t>;</w:t>
      </w:r>
      <w:r>
        <w:t xml:space="preserve"> </w:t>
      </w:r>
      <w:proofErr w:type="gramStart"/>
      <w:r>
        <w:t>they’re</w:t>
      </w:r>
      <w:proofErr w:type="gramEnd"/>
      <w:r>
        <w:t xml:space="preserve"> scared.</w:t>
      </w:r>
    </w:p>
    <w:p w14:paraId="0E0B446D" w14:textId="77777777" w:rsidR="00C432C3" w:rsidRDefault="00C432C3" w:rsidP="00C432C3">
      <w:pPr>
        <w:pStyle w:val="ListNumber"/>
      </w:pPr>
      <w:proofErr w:type="gramStart"/>
      <w:r>
        <w:t>Don’t</w:t>
      </w:r>
      <w:proofErr w:type="gramEnd"/>
      <w:r>
        <w:t xml:space="preserve"> use derogatory terms. Even if you think </w:t>
      </w:r>
      <w:proofErr w:type="gramStart"/>
      <w:r>
        <w:t>you’re</w:t>
      </w:r>
      <w:proofErr w:type="gramEnd"/>
      <w:r>
        <w:t xml:space="preserve"> funny, you </w:t>
      </w:r>
      <w:proofErr w:type="gramStart"/>
      <w:r>
        <w:t>can’t</w:t>
      </w:r>
      <w:proofErr w:type="gramEnd"/>
      <w:r>
        <w:t xml:space="preserve"> know if your audience will think so.</w:t>
      </w:r>
    </w:p>
    <w:p w14:paraId="614CB6C7" w14:textId="77777777" w:rsidR="00C432C3" w:rsidRDefault="00C432C3" w:rsidP="00C432C3">
      <w:pPr>
        <w:pStyle w:val="ListNumber"/>
      </w:pPr>
      <w:r>
        <w:t xml:space="preserve">Use </w:t>
      </w:r>
      <w:proofErr w:type="gramStart"/>
      <w:r>
        <w:t>colloquialisms</w:t>
      </w:r>
      <w:proofErr w:type="gramEnd"/>
      <w:r>
        <w:t xml:space="preserve"> with care. Claiming someone </w:t>
      </w:r>
      <w:r w:rsidRPr="004F3A62">
        <w:rPr>
          <w:i/>
          <w:iCs/>
        </w:rPr>
        <w:t>went postal</w:t>
      </w:r>
      <w:r>
        <w:t xml:space="preserve"> casts aspersions on the good people of the US Postal </w:t>
      </w:r>
      <w:proofErr w:type="gramStart"/>
      <w:r>
        <w:t>Service, and</w:t>
      </w:r>
      <w:proofErr w:type="gramEnd"/>
      <w:r>
        <w:t xml:space="preserve"> is unclear to readers unfamiliar with the phrase.</w:t>
      </w:r>
    </w:p>
    <w:p w14:paraId="570CDE70" w14:textId="77777777" w:rsidR="00C432C3" w:rsidRDefault="00C432C3" w:rsidP="00685D84">
      <w:pPr>
        <w:pStyle w:val="ListNumber"/>
      </w:pPr>
      <w:r>
        <w:t xml:space="preserve">If </w:t>
      </w:r>
      <w:proofErr w:type="gramStart"/>
      <w:r>
        <w:t>you’re</w:t>
      </w:r>
      <w:proofErr w:type="gramEnd"/>
      <w:r>
        <w:t xml:space="preserve"> tempted to defend your right to make a statement (“I’m not biased; some of my best friends are…”), know that </w:t>
      </w:r>
      <w:proofErr w:type="gramStart"/>
      <w:r>
        <w:t>you’re</w:t>
      </w:r>
      <w:proofErr w:type="gramEnd"/>
      <w:r>
        <w:t xml:space="preserve"> on unsteady ground. Proceed with caution, if at all.</w:t>
      </w:r>
    </w:p>
    <w:p w14:paraId="23BE48FA" w14:textId="77777777" w:rsidR="00000000" w:rsidRPr="004B0A17" w:rsidRDefault="00000000" w:rsidP="00685D84"/>
    <w:sectPr w:rsidR="00685D84" w:rsidRPr="004B0A17" w:rsidSect="008A003D">
      <w:footerReference w:type="default" r:id="rId7"/>
      <w:headerReference w:type="first" r:id="rId8"/>
      <w:footerReference w:type="first" r:id="rId9"/>
      <w:type w:val="continuous"/>
      <w:pgSz w:w="12240" w:h="15840"/>
      <w:pgMar w:top="1080" w:right="1440" w:bottom="1080" w:left="1440" w:header="360" w:footer="8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E472C" w14:textId="77777777" w:rsidR="002C3CB0" w:rsidRDefault="002C3CB0">
      <w:pPr>
        <w:spacing w:after="0" w:line="240" w:lineRule="auto"/>
      </w:pPr>
      <w:r>
        <w:separator/>
      </w:r>
    </w:p>
  </w:endnote>
  <w:endnote w:type="continuationSeparator" w:id="0">
    <w:p w14:paraId="07FB5F90" w14:textId="77777777" w:rsidR="002C3CB0" w:rsidRDefault="002C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Garamon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7737F" w14:textId="77777777" w:rsidR="004F3A62" w:rsidRDefault="004F3A62" w:rsidP="004F3A62">
    <w:pPr>
      <w:pStyle w:val="Footer"/>
      <w:rPr>
        <w:sz w:val="18"/>
      </w:rPr>
    </w:pPr>
  </w:p>
  <w:p w14:paraId="3CC6920C" w14:textId="77777777" w:rsidR="004F3A62" w:rsidRPr="000341C2" w:rsidRDefault="004F3A62" w:rsidP="004F3A62">
    <w:pPr>
      <w:pStyle w:val="Footer"/>
      <w:pBdr>
        <w:top w:val="single" w:sz="2" w:space="4" w:color="auto"/>
      </w:pBdr>
      <w:spacing w:line="220" w:lineRule="atLeast"/>
      <w:rPr>
        <w:rFonts w:ascii="AGaramond" w:hAnsi="AGaramond"/>
        <w:sz w:val="18"/>
      </w:rPr>
    </w:pPr>
    <w:r>
      <w:rPr>
        <w:rFonts w:ascii="AGaramond" w:hAnsi="AGaramond"/>
        <w:sz w:val="18"/>
      </w:rPr>
      <w:t>University</w:t>
    </w:r>
    <w:r w:rsidRPr="000341C2">
      <w:rPr>
        <w:rFonts w:ascii="AGaramond" w:hAnsi="AGaramond"/>
        <w:sz w:val="18"/>
      </w:rPr>
      <w:t xml:space="preserve"> Writing Center  |  The University of Texas at Austin  |  http://uwc.utexas.edu  |  </w:t>
    </w:r>
    <w:r>
      <w:rPr>
        <w:rFonts w:ascii="AGaramond" w:hAnsi="AGaramond"/>
        <w:sz w:val="18"/>
      </w:rPr>
      <w:t>PCL 2.330</w:t>
    </w:r>
    <w:r w:rsidRPr="000341C2">
      <w:rPr>
        <w:rFonts w:ascii="AGaramond" w:hAnsi="AGaramond"/>
        <w:sz w:val="18"/>
      </w:rPr>
      <w:t xml:space="preserve">  |  512.471.6222</w:t>
    </w:r>
  </w:p>
  <w:p w14:paraId="28DDB811" w14:textId="77777777" w:rsidR="004F3A62" w:rsidRPr="000341C2" w:rsidRDefault="004F3A62" w:rsidP="004F3A62">
    <w:pPr>
      <w:pStyle w:val="Footer"/>
      <w:spacing w:line="220" w:lineRule="atLeast"/>
      <w:rPr>
        <w:rFonts w:ascii="AGaramond" w:hAnsi="AGaramond"/>
        <w:sz w:val="18"/>
      </w:rPr>
    </w:pPr>
    <w:r>
      <w:rPr>
        <w:rFonts w:ascii="AGaramond" w:hAnsi="AGaramond"/>
        <w:sz w:val="18"/>
      </w:rPr>
      <w:t xml:space="preserve">Last revised by Teri Fickling, July 2020 </w:t>
    </w:r>
  </w:p>
  <w:p w14:paraId="5CEB389E" w14:textId="77777777" w:rsidR="00000000" w:rsidRPr="004F3A62" w:rsidRDefault="00000000" w:rsidP="004F3A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F965" w14:textId="77777777" w:rsidR="00C432C3" w:rsidRDefault="00C432C3" w:rsidP="00C432C3">
    <w:pPr>
      <w:pStyle w:val="Footer"/>
      <w:rPr>
        <w:sz w:val="18"/>
      </w:rPr>
    </w:pPr>
  </w:p>
  <w:p w14:paraId="72A47D71" w14:textId="77777777" w:rsidR="00C432C3" w:rsidRPr="000341C2" w:rsidRDefault="00BE5584" w:rsidP="00C432C3">
    <w:pPr>
      <w:pStyle w:val="Footer"/>
      <w:pBdr>
        <w:top w:val="single" w:sz="2" w:space="4" w:color="auto"/>
      </w:pBdr>
      <w:spacing w:line="220" w:lineRule="atLeast"/>
      <w:rPr>
        <w:rFonts w:ascii="AGaramond" w:hAnsi="AGaramond"/>
        <w:sz w:val="18"/>
      </w:rPr>
    </w:pPr>
    <w:r>
      <w:rPr>
        <w:rFonts w:ascii="AGaramond" w:hAnsi="AGaramond"/>
        <w:sz w:val="18"/>
      </w:rPr>
      <w:t>University</w:t>
    </w:r>
    <w:r w:rsidR="00C432C3" w:rsidRPr="000341C2">
      <w:rPr>
        <w:rFonts w:ascii="AGaramond" w:hAnsi="AGaramond"/>
        <w:sz w:val="18"/>
      </w:rPr>
      <w:t xml:space="preserve"> Writing Center  |  The University of Texas at Austin  |  http://uwc.utexas.edu  |  </w:t>
    </w:r>
    <w:r>
      <w:rPr>
        <w:rFonts w:ascii="AGaramond" w:hAnsi="AGaramond"/>
        <w:sz w:val="18"/>
      </w:rPr>
      <w:t>PCL 2.330</w:t>
    </w:r>
    <w:r w:rsidR="00C432C3" w:rsidRPr="000341C2">
      <w:rPr>
        <w:rFonts w:ascii="AGaramond" w:hAnsi="AGaramond"/>
        <w:sz w:val="18"/>
      </w:rPr>
      <w:t xml:space="preserve">  |  512.471.6222</w:t>
    </w:r>
  </w:p>
  <w:p w14:paraId="2B6D4B84" w14:textId="77777777" w:rsidR="00C432C3" w:rsidRPr="000341C2" w:rsidRDefault="00C432C3" w:rsidP="00C432C3">
    <w:pPr>
      <w:pStyle w:val="Footer"/>
      <w:spacing w:line="220" w:lineRule="atLeast"/>
      <w:rPr>
        <w:rFonts w:ascii="AGaramond" w:hAnsi="AGaramond"/>
        <w:sz w:val="18"/>
      </w:rPr>
    </w:pPr>
    <w:r>
      <w:rPr>
        <w:rFonts w:ascii="AGaramond" w:hAnsi="AGaramond"/>
        <w:sz w:val="18"/>
      </w:rPr>
      <w:t xml:space="preserve">Last revised by </w:t>
    </w:r>
    <w:r w:rsidR="004F3A62">
      <w:rPr>
        <w:rFonts w:ascii="AGaramond" w:hAnsi="AGaramond"/>
        <w:sz w:val="18"/>
      </w:rPr>
      <w:t>Teri Fickling</w:t>
    </w:r>
    <w:r>
      <w:rPr>
        <w:rFonts w:ascii="AGaramond" w:hAnsi="AGaramond"/>
        <w:sz w:val="18"/>
      </w:rPr>
      <w:t xml:space="preserve">, </w:t>
    </w:r>
    <w:r w:rsidR="004F3A62">
      <w:rPr>
        <w:rFonts w:ascii="AGaramond" w:hAnsi="AGaramond"/>
        <w:sz w:val="18"/>
      </w:rPr>
      <w:t xml:space="preserve">July 2020 </w:t>
    </w:r>
  </w:p>
  <w:p w14:paraId="1AF6DD59" w14:textId="77777777" w:rsidR="00C432C3" w:rsidRDefault="00C43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2E188" w14:textId="77777777" w:rsidR="002C3CB0" w:rsidRDefault="002C3CB0">
      <w:pPr>
        <w:spacing w:after="0" w:line="240" w:lineRule="auto"/>
      </w:pPr>
      <w:r>
        <w:separator/>
      </w:r>
    </w:p>
  </w:footnote>
  <w:footnote w:type="continuationSeparator" w:id="0">
    <w:p w14:paraId="62ECF3F6" w14:textId="77777777" w:rsidR="002C3CB0" w:rsidRDefault="002C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69E3" w14:textId="77777777" w:rsidR="00000000" w:rsidRDefault="00BE5584">
    <w:pPr>
      <w:pStyle w:val="Header"/>
    </w:pPr>
    <w:r>
      <w:rPr>
        <w:noProof/>
      </w:rPr>
      <w:drawing>
        <wp:inline distT="0" distB="0" distL="0" distR="0" wp14:anchorId="7038CE3C" wp14:editId="39A39813">
          <wp:extent cx="5943600" cy="914400"/>
          <wp:effectExtent l="0" t="0" r="0" b="0"/>
          <wp:docPr id="1" name="Picture 1" descr="UT-Austin's University Writing Center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T-Austin's University Writing Center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5057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7635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8B84E4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1E8E4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BCAD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60661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C5A3D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4FAC0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010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916C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EE84A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FA0701"/>
    <w:multiLevelType w:val="hybridMultilevel"/>
    <w:tmpl w:val="D35CF1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1754A"/>
    <w:multiLevelType w:val="hybridMultilevel"/>
    <w:tmpl w:val="197039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45E0D15"/>
    <w:multiLevelType w:val="multilevel"/>
    <w:tmpl w:val="06064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3011A"/>
    <w:multiLevelType w:val="multilevel"/>
    <w:tmpl w:val="06064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A2A14"/>
    <w:multiLevelType w:val="hybridMultilevel"/>
    <w:tmpl w:val="E0BC1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256F3"/>
    <w:multiLevelType w:val="hybridMultilevel"/>
    <w:tmpl w:val="06064D22"/>
    <w:lvl w:ilvl="0" w:tplc="E08CE126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18113">
    <w:abstractNumId w:val="10"/>
  </w:num>
  <w:num w:numId="2" w16cid:durableId="479880555">
    <w:abstractNumId w:val="8"/>
  </w:num>
  <w:num w:numId="3" w16cid:durableId="897402151">
    <w:abstractNumId w:val="4"/>
  </w:num>
  <w:num w:numId="4" w16cid:durableId="224296688">
    <w:abstractNumId w:val="3"/>
  </w:num>
  <w:num w:numId="5" w16cid:durableId="327446220">
    <w:abstractNumId w:val="2"/>
  </w:num>
  <w:num w:numId="6" w16cid:durableId="948053038">
    <w:abstractNumId w:val="1"/>
  </w:num>
  <w:num w:numId="7" w16cid:durableId="45034503">
    <w:abstractNumId w:val="9"/>
  </w:num>
  <w:num w:numId="8" w16cid:durableId="2044137615">
    <w:abstractNumId w:val="7"/>
  </w:num>
  <w:num w:numId="9" w16cid:durableId="1864131517">
    <w:abstractNumId w:val="6"/>
  </w:num>
  <w:num w:numId="10" w16cid:durableId="853806886">
    <w:abstractNumId w:val="5"/>
  </w:num>
  <w:num w:numId="11" w16cid:durableId="689533028">
    <w:abstractNumId w:val="0"/>
  </w:num>
  <w:num w:numId="12" w16cid:durableId="2102483490">
    <w:abstractNumId w:val="9"/>
    <w:lvlOverride w:ilvl="0">
      <w:startOverride w:val="1"/>
    </w:lvlOverride>
  </w:num>
  <w:num w:numId="13" w16cid:durableId="961544728">
    <w:abstractNumId w:val="16"/>
  </w:num>
  <w:num w:numId="14" w16cid:durableId="1152796843">
    <w:abstractNumId w:val="14"/>
  </w:num>
  <w:num w:numId="15" w16cid:durableId="1192038541">
    <w:abstractNumId w:val="15"/>
  </w:num>
  <w:num w:numId="16" w16cid:durableId="1437023338">
    <w:abstractNumId w:val="13"/>
  </w:num>
  <w:num w:numId="17" w16cid:durableId="599220768">
    <w:abstractNumId w:val="11"/>
  </w:num>
  <w:num w:numId="18" w16cid:durableId="11598099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C3"/>
    <w:rsid w:val="00063633"/>
    <w:rsid w:val="002C3CB0"/>
    <w:rsid w:val="00467EB6"/>
    <w:rsid w:val="004F3A62"/>
    <w:rsid w:val="00513ABC"/>
    <w:rsid w:val="0084130F"/>
    <w:rsid w:val="008F272C"/>
    <w:rsid w:val="00B55076"/>
    <w:rsid w:val="00BE5584"/>
    <w:rsid w:val="00C432C3"/>
    <w:rsid w:val="00D459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5344D6"/>
  <w15:docId w15:val="{D0BC4208-F58F-F942-B246-ADDB8359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80A"/>
    <w:pPr>
      <w:spacing w:after="60" w:line="260" w:lineRule="atLeast"/>
    </w:pPr>
    <w:rPr>
      <w:rFonts w:ascii="Garamond" w:hAnsi="Garamond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80A"/>
    <w:pPr>
      <w:keepNext/>
      <w:spacing w:before="80" w:after="160"/>
      <w:jc w:val="right"/>
      <w:outlineLvl w:val="0"/>
    </w:pPr>
    <w:rPr>
      <w:rFonts w:eastAsia="Times New Roman"/>
      <w:bCs/>
      <w:color w:val="7474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03D"/>
    <w:pPr>
      <w:keepNext/>
      <w:spacing w:before="240"/>
      <w:outlineLvl w:val="1"/>
    </w:pPr>
    <w:rPr>
      <w:rFonts w:eastAsia="Times New Roma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rsid w:val="008A003D"/>
    <w:pPr>
      <w:keepNext/>
      <w:spacing w:before="240"/>
      <w:outlineLvl w:val="2"/>
    </w:pPr>
    <w:rPr>
      <w:rFonts w:eastAsiaTheme="majorEastAsia" w:cstheme="majorBidi"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0A8E"/>
  </w:style>
  <w:style w:type="paragraph" w:styleId="Header">
    <w:name w:val="header"/>
    <w:basedOn w:val="Normal"/>
    <w:rsid w:val="00E60A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0A8E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6D680A"/>
    <w:rPr>
      <w:rFonts w:ascii="Garamond" w:eastAsia="Times New Roman" w:hAnsi="Garamond" w:cs="Times New Roman"/>
      <w:bCs/>
      <w:color w:val="747474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003D"/>
    <w:rPr>
      <w:rFonts w:ascii="Garamond" w:eastAsia="Times New Roman" w:hAnsi="Garamond"/>
      <w:b/>
      <w:bCs/>
      <w:iCs/>
      <w:sz w:val="28"/>
      <w:szCs w:val="28"/>
    </w:rPr>
  </w:style>
  <w:style w:type="paragraph" w:styleId="ListNumber">
    <w:name w:val="List Number"/>
    <w:basedOn w:val="Normal"/>
    <w:uiPriority w:val="99"/>
    <w:unhideWhenUsed/>
    <w:rsid w:val="006D680A"/>
    <w:pPr>
      <w:numPr>
        <w:numId w:val="13"/>
      </w:numPr>
      <w:spacing w:after="80"/>
    </w:pPr>
  </w:style>
  <w:style w:type="character" w:customStyle="1" w:styleId="BodyTextChar">
    <w:name w:val="Body Text Char"/>
    <w:basedOn w:val="DefaultParagraphFont"/>
    <w:link w:val="BodyText"/>
    <w:rsid w:val="006D680A"/>
    <w:rPr>
      <w:sz w:val="22"/>
    </w:rPr>
  </w:style>
  <w:style w:type="character" w:customStyle="1" w:styleId="Heading3Char">
    <w:name w:val="Heading 3 Char"/>
    <w:basedOn w:val="DefaultParagraphFont"/>
    <w:link w:val="Heading3"/>
    <w:rsid w:val="008A003D"/>
    <w:rPr>
      <w:rFonts w:ascii="Garamond" w:eastAsiaTheme="majorEastAsia" w:hAnsi="Garamond" w:cstheme="majorBidi"/>
      <w:bCs/>
      <w:i/>
      <w:sz w:val="24"/>
      <w:szCs w:val="26"/>
    </w:rPr>
  </w:style>
  <w:style w:type="paragraph" w:styleId="ListBullet">
    <w:name w:val="List Bullet"/>
    <w:basedOn w:val="Normal"/>
    <w:rsid w:val="008A003D"/>
    <w:pPr>
      <w:numPr>
        <w:numId w:val="1"/>
      </w:numPr>
    </w:pPr>
  </w:style>
  <w:style w:type="paragraph" w:styleId="BodyTextIndent">
    <w:name w:val="Body Text Indent"/>
    <w:basedOn w:val="Normal"/>
    <w:link w:val="BodyTextIndentChar"/>
    <w:rsid w:val="00C432C3"/>
    <w:pPr>
      <w:tabs>
        <w:tab w:val="left" w:pos="360"/>
      </w:tabs>
      <w:spacing w:after="0" w:line="300" w:lineRule="atLeast"/>
      <w:ind w:left="360"/>
    </w:pPr>
    <w:rPr>
      <w:rFonts w:ascii="Times" w:hAnsi="Times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C432C3"/>
    <w:rPr>
      <w:sz w:val="24"/>
    </w:rPr>
  </w:style>
  <w:style w:type="paragraph" w:styleId="BalloonText">
    <w:name w:val="Balloon Text"/>
    <w:basedOn w:val="Normal"/>
    <w:link w:val="BalloonTextChar"/>
    <w:rsid w:val="00BE558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558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2989</Characters>
  <Application>Microsoft Office Word</Application>
  <DocSecurity>0</DocSecurity>
  <Lines>64</Lines>
  <Paragraphs>32</Paragraphs>
  <ScaleCrop>false</ScaleCrop>
  <Company>UWC</Company>
  <LinksUpToDate>false</LinksUpToDate>
  <CharactersWithSpaces>3529</CharactersWithSpaces>
  <SharedDoc>false</SharedDoc>
  <HLinks>
    <vt:vector size="6" baseType="variant">
      <vt:variant>
        <vt:i4>2293873</vt:i4>
      </vt:variant>
      <vt:variant>
        <vt:i4>2048</vt:i4>
      </vt:variant>
      <vt:variant>
        <vt:i4>1025</vt:i4>
      </vt:variant>
      <vt:variant>
        <vt:i4>1</vt:i4>
      </vt:variant>
      <vt:variant>
        <vt:lpwstr>handout 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Tamara Smith</dc:creator>
  <cp:keywords/>
  <cp:lastModifiedBy>Mia Banuelos</cp:lastModifiedBy>
  <cp:revision>3</cp:revision>
  <cp:lastPrinted>2009-02-18T21:41:00Z</cp:lastPrinted>
  <dcterms:created xsi:type="dcterms:W3CDTF">2020-07-29T21:20:00Z</dcterms:created>
  <dcterms:modified xsi:type="dcterms:W3CDTF">2026-04-07T19:49:00Z</dcterms:modified>
</cp:coreProperties>
</file>