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45495" w14:textId="600F13EA" w:rsidR="00F40A2D" w:rsidRPr="009F0DBD" w:rsidRDefault="00396290" w:rsidP="00330A0F">
      <w:pPr>
        <w:spacing w:after="0" w:line="240" w:lineRule="auto"/>
        <w:ind w:left="0" w:firstLine="0"/>
        <w:jc w:val="right"/>
        <w:rPr>
          <w:color w:val="747474"/>
          <w:sz w:val="40"/>
        </w:rPr>
      </w:pPr>
      <w:r>
        <w:t xml:space="preserve"> </w:t>
      </w:r>
      <w:r w:rsidR="00704980">
        <w:rPr>
          <w:color w:val="747474"/>
          <w:sz w:val="40"/>
        </w:rPr>
        <w:t>Code-Switching</w:t>
      </w:r>
      <w:r w:rsidR="00143BDF">
        <w:rPr>
          <w:color w:val="747474"/>
          <w:sz w:val="40"/>
        </w:rPr>
        <w:t xml:space="preserve"> and</w:t>
      </w:r>
      <w:r w:rsidR="00704980">
        <w:rPr>
          <w:color w:val="747474"/>
          <w:sz w:val="40"/>
        </w:rPr>
        <w:t xml:space="preserve"> Code-Meshing</w:t>
      </w:r>
      <w:r>
        <w:rPr>
          <w:color w:val="747474"/>
          <w:sz w:val="40"/>
        </w:rPr>
        <w:t xml:space="preserve"> </w:t>
      </w:r>
    </w:p>
    <w:p w14:paraId="4C2DCDAA" w14:textId="77777777" w:rsidR="009F0DBD" w:rsidRDefault="009F0DBD" w:rsidP="009F0DBD">
      <w:pPr>
        <w:spacing w:after="0" w:line="240" w:lineRule="auto"/>
        <w:ind w:left="-5" w:right="96"/>
      </w:pPr>
    </w:p>
    <w:p w14:paraId="2BCF3C9F" w14:textId="7482ECB2" w:rsidR="009F0DBD" w:rsidRPr="00267086" w:rsidRDefault="006D45A5" w:rsidP="00267086">
      <w:pPr>
        <w:spacing w:after="0" w:line="240" w:lineRule="auto"/>
        <w:ind w:left="-5" w:right="96"/>
        <w:rPr>
          <w:b/>
          <w:bCs/>
          <w:sz w:val="30"/>
          <w:szCs w:val="30"/>
        </w:rPr>
      </w:pPr>
      <w:r w:rsidRPr="006D45A5">
        <w:rPr>
          <w:b/>
          <w:bCs/>
          <w:sz w:val="30"/>
          <w:szCs w:val="30"/>
        </w:rPr>
        <w:t>Code-Switching</w:t>
      </w:r>
    </w:p>
    <w:p w14:paraId="04B4BB80" w14:textId="312D4175" w:rsidR="00177FA2" w:rsidRDefault="00177FA2" w:rsidP="00032843">
      <w:pPr>
        <w:spacing w:after="0" w:line="240" w:lineRule="auto"/>
        <w:ind w:left="0" w:right="101" w:firstLine="0"/>
        <w:rPr>
          <w:szCs w:val="22"/>
        </w:rPr>
      </w:pPr>
      <w:r>
        <w:t xml:space="preserve">Code-switching can be defined as </w:t>
      </w:r>
      <w:r w:rsidR="00E80864" w:rsidRPr="00177FA2">
        <w:rPr>
          <w:szCs w:val="22"/>
        </w:rPr>
        <w:t xml:space="preserve">the practice of changing “one’s style of speech, appearance, behavior, and expression in ways that will optimize the comfort of others in exchange for fair treatment, quality service, and employment opportunities” (McCluney et al.). </w:t>
      </w:r>
      <w:r>
        <w:rPr>
          <w:szCs w:val="22"/>
        </w:rPr>
        <w:t>This handout focuses on code-switching as it applies to language in an academic setting. The UWC affirms students’ right to their own language, so we promote student agency. We advocate for students’ right to make their own choice</w:t>
      </w:r>
      <w:r w:rsidR="00986219">
        <w:rPr>
          <w:szCs w:val="22"/>
        </w:rPr>
        <w:t>s</w:t>
      </w:r>
      <w:r>
        <w:rPr>
          <w:szCs w:val="22"/>
        </w:rPr>
        <w:t xml:space="preserve"> about whether to code-switch.</w:t>
      </w:r>
    </w:p>
    <w:p w14:paraId="3034F574" w14:textId="77777777" w:rsidR="00032843" w:rsidRPr="00032843" w:rsidRDefault="00032843" w:rsidP="00032843">
      <w:pPr>
        <w:spacing w:after="0" w:line="240" w:lineRule="auto"/>
        <w:ind w:left="0" w:right="101" w:firstLine="0"/>
        <w:rPr>
          <w:sz w:val="10"/>
          <w:szCs w:val="10"/>
        </w:rPr>
      </w:pPr>
    </w:p>
    <w:p w14:paraId="6F0A7BD8" w14:textId="694CE3B6" w:rsidR="00177FA2" w:rsidRDefault="00177FA2" w:rsidP="00032843">
      <w:pPr>
        <w:spacing w:after="0" w:line="240" w:lineRule="auto"/>
        <w:ind w:left="0" w:right="101" w:firstLine="0"/>
        <w:rPr>
          <w:szCs w:val="22"/>
        </w:rPr>
      </w:pPr>
      <w:r>
        <w:rPr>
          <w:szCs w:val="22"/>
        </w:rPr>
        <w:t xml:space="preserve">Sometimes the choice of what language to use in academic writing is not one that is freely undertaken. </w:t>
      </w:r>
      <w:r w:rsidRPr="00177FA2">
        <w:rPr>
          <w:szCs w:val="22"/>
        </w:rPr>
        <w:t xml:space="preserve">Multilingual and BIPOC writers are often prompted to alter the language in their writing to conform to </w:t>
      </w:r>
      <w:r w:rsidR="00986219">
        <w:rPr>
          <w:szCs w:val="22"/>
        </w:rPr>
        <w:t>instructor</w:t>
      </w:r>
      <w:r w:rsidRPr="00177FA2">
        <w:rPr>
          <w:szCs w:val="22"/>
        </w:rPr>
        <w:t xml:space="preserve"> expectations that they use Academic Edited English. </w:t>
      </w:r>
      <w:r w:rsidRPr="00E80864">
        <w:rPr>
          <w:szCs w:val="22"/>
        </w:rPr>
        <w:t>Laura Greenfield observes</w:t>
      </w:r>
      <w:r>
        <w:rPr>
          <w:szCs w:val="22"/>
        </w:rPr>
        <w:t xml:space="preserve"> that</w:t>
      </w:r>
      <w:r w:rsidRPr="00E80864">
        <w:rPr>
          <w:szCs w:val="22"/>
        </w:rPr>
        <w:t xml:space="preserve"> educators who require their students to code-switch often do so because they see themselves as helping those students by giving them the linguistic tools to avoid other people’s racist reactions to their language</w:t>
      </w:r>
      <w:r>
        <w:rPr>
          <w:szCs w:val="22"/>
        </w:rPr>
        <w:t xml:space="preserve"> (39)</w:t>
      </w:r>
      <w:r w:rsidRPr="00E80864">
        <w:rPr>
          <w:szCs w:val="22"/>
        </w:rPr>
        <w:t>.</w:t>
      </w:r>
      <w:r>
        <w:rPr>
          <w:szCs w:val="22"/>
        </w:rPr>
        <w:t xml:space="preserve"> Greenfield criticizes th</w:t>
      </w:r>
      <w:r w:rsidR="00986219">
        <w:rPr>
          <w:szCs w:val="22"/>
        </w:rPr>
        <w:t>is</w:t>
      </w:r>
      <w:r>
        <w:rPr>
          <w:szCs w:val="22"/>
        </w:rPr>
        <w:t xml:space="preserve"> thinking, and indeed, t</w:t>
      </w:r>
      <w:r w:rsidRPr="00177FA2">
        <w:rPr>
          <w:szCs w:val="22"/>
        </w:rPr>
        <w:t>he logic behind coerced code-switching shift</w:t>
      </w:r>
      <w:r>
        <w:rPr>
          <w:szCs w:val="22"/>
        </w:rPr>
        <w:t>s</w:t>
      </w:r>
      <w:r w:rsidRPr="00177FA2">
        <w:rPr>
          <w:szCs w:val="22"/>
        </w:rPr>
        <w:t xml:space="preserve"> the onus away from those who perpetrate linguistic racism and onto those who suffer from it.</w:t>
      </w:r>
      <w:r>
        <w:rPr>
          <w:szCs w:val="22"/>
        </w:rPr>
        <w:t xml:space="preserve"> Still, as Endiya Griffin and Tatiana Howell explain in this </w:t>
      </w:r>
      <w:hyperlink r:id="rId7" w:history="1">
        <w:r w:rsidRPr="00177FA2">
          <w:rPr>
            <w:rStyle w:val="Hyperlink"/>
            <w:szCs w:val="22"/>
          </w:rPr>
          <w:t>TED Talk</w:t>
        </w:r>
      </w:hyperlink>
      <w:r>
        <w:rPr>
          <w:szCs w:val="22"/>
        </w:rPr>
        <w:t>, in a racist society code-switching is a survival tool for multilingual and BIPOC writers.</w:t>
      </w:r>
    </w:p>
    <w:p w14:paraId="45C8B3A7" w14:textId="77777777" w:rsidR="00032843" w:rsidRPr="00032843" w:rsidRDefault="00032843" w:rsidP="00032843">
      <w:pPr>
        <w:spacing w:after="0" w:line="240" w:lineRule="auto"/>
        <w:ind w:left="0" w:right="101" w:firstLine="0"/>
        <w:rPr>
          <w:sz w:val="10"/>
          <w:szCs w:val="10"/>
        </w:rPr>
      </w:pPr>
    </w:p>
    <w:p w14:paraId="01384A39" w14:textId="6336B54A" w:rsidR="00177FA2" w:rsidRDefault="00177FA2" w:rsidP="00032843">
      <w:pPr>
        <w:spacing w:after="0" w:line="257" w:lineRule="auto"/>
        <w:ind w:left="14" w:hanging="14"/>
        <w:rPr>
          <w:szCs w:val="22"/>
        </w:rPr>
      </w:pPr>
      <w:r>
        <w:rPr>
          <w:szCs w:val="22"/>
        </w:rPr>
        <w:t xml:space="preserve">However, many scholars have also documented the ways in which code-switching harms students. Focusing on the experience of African American students, </w:t>
      </w:r>
      <w:r w:rsidR="00E80864" w:rsidRPr="00177FA2">
        <w:rPr>
          <w:szCs w:val="22"/>
        </w:rPr>
        <w:t>April Baker-Bell defines code-switching as “a color-evasiveness approach that teaches students to use language to fit the time, place, audience, and communicative purpose, which is usually only with friends and at home in the case of Black Language” (23).</w:t>
      </w:r>
      <w:r>
        <w:rPr>
          <w:szCs w:val="22"/>
        </w:rPr>
        <w:t xml:space="preserve"> </w:t>
      </w:r>
      <w:r w:rsidR="00E80864" w:rsidRPr="00177FA2">
        <w:rPr>
          <w:szCs w:val="22"/>
        </w:rPr>
        <w:t xml:space="preserve">When instructors require students to code-switch, they implicitly teach students that their language, and ultimately their identities, are </w:t>
      </w:r>
      <w:r>
        <w:rPr>
          <w:szCs w:val="22"/>
        </w:rPr>
        <w:t>not welcome in an academic setting</w:t>
      </w:r>
      <w:r w:rsidR="00E80864" w:rsidRPr="00177FA2">
        <w:rPr>
          <w:szCs w:val="22"/>
        </w:rPr>
        <w:t xml:space="preserve">. </w:t>
      </w:r>
      <w:r w:rsidRPr="00177FA2">
        <w:rPr>
          <w:szCs w:val="22"/>
        </w:rPr>
        <w:t>Required code-switching promotes internalized racism and prevents students from bringing their authentic selves to the classroom.</w:t>
      </w:r>
    </w:p>
    <w:p w14:paraId="44D5BD7C" w14:textId="77777777" w:rsidR="00032843" w:rsidRPr="00032843" w:rsidRDefault="00032843" w:rsidP="00032843">
      <w:pPr>
        <w:spacing w:after="0" w:line="257" w:lineRule="auto"/>
        <w:ind w:left="14" w:hanging="14"/>
        <w:rPr>
          <w:sz w:val="10"/>
          <w:szCs w:val="10"/>
        </w:rPr>
      </w:pPr>
    </w:p>
    <w:p w14:paraId="2FFA35FB" w14:textId="1F35F84A" w:rsidR="00177FA2" w:rsidRPr="00267086" w:rsidRDefault="006D45A5" w:rsidP="00267086">
      <w:pPr>
        <w:spacing w:after="0" w:line="240" w:lineRule="auto"/>
        <w:ind w:left="-5" w:right="96"/>
        <w:rPr>
          <w:b/>
          <w:bCs/>
          <w:sz w:val="30"/>
          <w:szCs w:val="30"/>
        </w:rPr>
      </w:pPr>
      <w:r w:rsidRPr="006D45A5">
        <w:rPr>
          <w:b/>
          <w:bCs/>
          <w:sz w:val="30"/>
          <w:szCs w:val="30"/>
        </w:rPr>
        <w:t>Code-</w:t>
      </w:r>
      <w:r>
        <w:rPr>
          <w:b/>
          <w:bCs/>
          <w:sz w:val="30"/>
          <w:szCs w:val="30"/>
        </w:rPr>
        <w:t>Mesh</w:t>
      </w:r>
      <w:r w:rsidRPr="006D45A5">
        <w:rPr>
          <w:b/>
          <w:bCs/>
          <w:sz w:val="30"/>
          <w:szCs w:val="30"/>
        </w:rPr>
        <w:t>ing</w:t>
      </w:r>
    </w:p>
    <w:p w14:paraId="21FD46FA" w14:textId="7BADB8D4" w:rsidR="00177FA2" w:rsidRDefault="00CC19B1" w:rsidP="00032843">
      <w:pPr>
        <w:spacing w:after="0" w:line="240" w:lineRule="auto"/>
        <w:ind w:left="14" w:right="101" w:hanging="14"/>
        <w:rPr>
          <w:szCs w:val="22"/>
        </w:rPr>
      </w:pPr>
      <w:r w:rsidRPr="00177FA2">
        <w:rPr>
          <w:szCs w:val="22"/>
        </w:rPr>
        <w:t>Code-meshing, in contrast to code-switching, encourages students to draw from all</w:t>
      </w:r>
      <w:r w:rsidR="00986219">
        <w:rPr>
          <w:szCs w:val="22"/>
        </w:rPr>
        <w:t xml:space="preserve"> their</w:t>
      </w:r>
      <w:r w:rsidRPr="00177FA2">
        <w:rPr>
          <w:szCs w:val="22"/>
        </w:rPr>
        <w:t xml:space="preserve"> linguistic resources.</w:t>
      </w:r>
      <w:r w:rsidR="00177FA2">
        <w:rPr>
          <w:szCs w:val="22"/>
        </w:rPr>
        <w:t xml:space="preserve"> </w:t>
      </w:r>
      <w:r w:rsidRPr="00177FA2">
        <w:rPr>
          <w:szCs w:val="22"/>
        </w:rPr>
        <w:t xml:space="preserve">It </w:t>
      </w:r>
      <w:r w:rsidR="00EE0979" w:rsidRPr="00177FA2">
        <w:rPr>
          <w:szCs w:val="22"/>
        </w:rPr>
        <w:t xml:space="preserve">prompts </w:t>
      </w:r>
      <w:r w:rsidRPr="00177FA2">
        <w:rPr>
          <w:szCs w:val="22"/>
        </w:rPr>
        <w:t xml:space="preserve">students to mesh, or bring together, multiple language traditions. </w:t>
      </w:r>
      <w:r w:rsidR="00177FA2">
        <w:rPr>
          <w:szCs w:val="22"/>
        </w:rPr>
        <w:t>These language traditions can be drawn from different varieties of the same language, as would be the case with an academic text that combines African American Vernacular English (AAVE) and Academic Edited English. Code-meshed writing can also combine two distinct languages, as is the case with Spanglish. Instructors who promote c</w:t>
      </w:r>
      <w:r w:rsidRPr="00177FA2">
        <w:rPr>
          <w:szCs w:val="22"/>
        </w:rPr>
        <w:t xml:space="preserve">ode-meshing </w:t>
      </w:r>
      <w:r w:rsidR="00177FA2">
        <w:rPr>
          <w:szCs w:val="22"/>
        </w:rPr>
        <w:t xml:space="preserve">often do so because they </w:t>
      </w:r>
      <w:r w:rsidRPr="00177FA2">
        <w:rPr>
          <w:szCs w:val="22"/>
        </w:rPr>
        <w:t>acknowledge the value of different forms of spoken English and</w:t>
      </w:r>
      <w:r w:rsidR="00177FA2">
        <w:rPr>
          <w:szCs w:val="22"/>
        </w:rPr>
        <w:t xml:space="preserve"> regard</w:t>
      </w:r>
      <w:r w:rsidR="00177FA2" w:rsidRPr="00177FA2">
        <w:rPr>
          <w:szCs w:val="22"/>
        </w:rPr>
        <w:t xml:space="preserve"> </w:t>
      </w:r>
      <w:r w:rsidR="00986219">
        <w:rPr>
          <w:szCs w:val="22"/>
        </w:rPr>
        <w:t xml:space="preserve">as assets </w:t>
      </w:r>
      <w:r w:rsidR="00177FA2" w:rsidRPr="00177FA2">
        <w:rPr>
          <w:szCs w:val="22"/>
        </w:rPr>
        <w:t xml:space="preserve">the resources that multilingual writers bring to an academic setting. </w:t>
      </w:r>
    </w:p>
    <w:p w14:paraId="6B8845AE" w14:textId="77777777" w:rsidR="00EE0979" w:rsidRPr="00032843" w:rsidRDefault="00EE0979" w:rsidP="00986219">
      <w:pPr>
        <w:spacing w:after="0" w:line="240" w:lineRule="auto"/>
        <w:ind w:left="0" w:right="96" w:firstLine="0"/>
        <w:rPr>
          <w:sz w:val="10"/>
          <w:szCs w:val="10"/>
        </w:rPr>
      </w:pPr>
    </w:p>
    <w:p w14:paraId="6CBE0F03" w14:textId="41CF6C89" w:rsidR="00EE0979" w:rsidRDefault="00EE0979" w:rsidP="00032843">
      <w:pPr>
        <w:spacing w:after="0" w:line="257" w:lineRule="auto"/>
        <w:ind w:left="14" w:right="101" w:hanging="14"/>
        <w:rPr>
          <w:szCs w:val="22"/>
        </w:rPr>
      </w:pPr>
      <w:r w:rsidRPr="00986219">
        <w:rPr>
          <w:szCs w:val="22"/>
        </w:rPr>
        <w:t>Vershawn Ashanti Young champions this approach</w:t>
      </w:r>
      <w:r w:rsidR="00986219">
        <w:rPr>
          <w:szCs w:val="22"/>
        </w:rPr>
        <w:t xml:space="preserve">, as he explains in this </w:t>
      </w:r>
      <w:hyperlink r:id="rId8" w:history="1">
        <w:r w:rsidR="00986219" w:rsidRPr="00986219">
          <w:rPr>
            <w:rStyle w:val="Hyperlink"/>
            <w:szCs w:val="22"/>
          </w:rPr>
          <w:t>interview</w:t>
        </w:r>
      </w:hyperlink>
      <w:r w:rsidRPr="00986219">
        <w:rPr>
          <w:szCs w:val="22"/>
        </w:rPr>
        <w:t xml:space="preserve">. He makes the point that given the appropriation of AAVE by white English speakers in the mainstream, we are holding students back when we </w:t>
      </w:r>
      <w:proofErr w:type="gramStart"/>
      <w:r w:rsidRPr="00986219">
        <w:rPr>
          <w:szCs w:val="22"/>
        </w:rPr>
        <w:t>don’t</w:t>
      </w:r>
      <w:proofErr w:type="gramEnd"/>
      <w:r w:rsidRPr="00986219">
        <w:rPr>
          <w:szCs w:val="22"/>
        </w:rPr>
        <w:t xml:space="preserve"> allow them to capitalize on their deep lived familiarity with AAVE. </w:t>
      </w:r>
      <w:r w:rsidR="00986219">
        <w:rPr>
          <w:szCs w:val="22"/>
        </w:rPr>
        <w:t xml:space="preserve">Furthermore, as the example of Gloria Anzaldúa’s “How to Tame a Wild Tongue” in </w:t>
      </w:r>
      <w:r w:rsidR="00986219">
        <w:rPr>
          <w:i/>
          <w:iCs/>
          <w:szCs w:val="22"/>
        </w:rPr>
        <w:t>Borderlands/La Frontera: The New Mestiza</w:t>
      </w:r>
      <w:r w:rsidR="00986219">
        <w:rPr>
          <w:szCs w:val="22"/>
        </w:rPr>
        <w:t xml:space="preserve"> demonstrates, code-meshed texts can achieve an elevated status in academia: this essay is regularly taught in American literature classrooms by instructors who recognize that its meshing of Spanish and English makes the text highly rhetorically effective.</w:t>
      </w:r>
    </w:p>
    <w:p w14:paraId="4D83AD6B" w14:textId="77777777" w:rsidR="00032843" w:rsidRPr="00032843" w:rsidRDefault="00032843" w:rsidP="00032843">
      <w:pPr>
        <w:spacing w:after="0" w:line="257" w:lineRule="auto"/>
        <w:ind w:left="14" w:right="101" w:hanging="14"/>
        <w:rPr>
          <w:sz w:val="10"/>
          <w:szCs w:val="10"/>
        </w:rPr>
      </w:pPr>
    </w:p>
    <w:p w14:paraId="6F6C3493" w14:textId="4BA693A3" w:rsidR="00986219" w:rsidRDefault="00986219" w:rsidP="00986219">
      <w:pPr>
        <w:spacing w:after="0" w:line="240" w:lineRule="auto"/>
        <w:ind w:left="0" w:right="96" w:firstLine="0"/>
        <w:rPr>
          <w:szCs w:val="22"/>
        </w:rPr>
      </w:pPr>
      <w:r>
        <w:rPr>
          <w:szCs w:val="22"/>
        </w:rPr>
        <w:t>Instructors who teach code-meshing prompt</w:t>
      </w:r>
      <w:r w:rsidRPr="00177FA2">
        <w:rPr>
          <w:szCs w:val="22"/>
        </w:rPr>
        <w:t xml:space="preserve"> students </w:t>
      </w:r>
      <w:r>
        <w:rPr>
          <w:szCs w:val="22"/>
        </w:rPr>
        <w:t xml:space="preserve">to </w:t>
      </w:r>
      <w:r w:rsidRPr="00177FA2">
        <w:rPr>
          <w:szCs w:val="22"/>
        </w:rPr>
        <w:t xml:space="preserve">consider the rhetorical effect of drawing from </w:t>
      </w:r>
      <w:r>
        <w:rPr>
          <w:szCs w:val="22"/>
        </w:rPr>
        <w:t>different</w:t>
      </w:r>
      <w:r w:rsidRPr="00177FA2">
        <w:rPr>
          <w:szCs w:val="22"/>
        </w:rPr>
        <w:t xml:space="preserve"> language traditions.</w:t>
      </w:r>
      <w:r>
        <w:rPr>
          <w:szCs w:val="22"/>
        </w:rPr>
        <w:t xml:space="preserve"> Therefore, </w:t>
      </w:r>
      <w:proofErr w:type="gramStart"/>
      <w:r>
        <w:rPr>
          <w:szCs w:val="22"/>
        </w:rPr>
        <w:t>in spite of</w:t>
      </w:r>
      <w:proofErr w:type="gramEnd"/>
      <w:r>
        <w:rPr>
          <w:szCs w:val="22"/>
        </w:rPr>
        <w:t xml:space="preserve"> concerns that abandoning a code-switching approach would amount to lowering the standards of academic writing, code-meshing </w:t>
      </w:r>
      <w:proofErr w:type="gramStart"/>
      <w:r>
        <w:rPr>
          <w:szCs w:val="22"/>
        </w:rPr>
        <w:t>actually requires</w:t>
      </w:r>
      <w:proofErr w:type="gramEnd"/>
      <w:r>
        <w:rPr>
          <w:szCs w:val="22"/>
        </w:rPr>
        <w:t xml:space="preserve"> greater </w:t>
      </w:r>
      <w:r>
        <w:rPr>
          <w:szCs w:val="22"/>
        </w:rPr>
        <w:lastRenderedPageBreak/>
        <w:t>sophistication on the part of students as they “must learn strategies for negotiation” between different linguistic traditions (Laverick). Code-meshing also has the advantage of changing the status quo by expanding the language and, by extension, the identities that have privileged status in academia.</w:t>
      </w:r>
    </w:p>
    <w:p w14:paraId="09E4CBFA" w14:textId="2971E8C6" w:rsidR="00986219" w:rsidRPr="00032843" w:rsidRDefault="00986219" w:rsidP="00986219">
      <w:pPr>
        <w:spacing w:after="0" w:line="240" w:lineRule="auto"/>
        <w:ind w:left="0" w:right="96" w:firstLine="0"/>
        <w:rPr>
          <w:sz w:val="10"/>
          <w:szCs w:val="10"/>
        </w:rPr>
      </w:pPr>
    </w:p>
    <w:p w14:paraId="27DFD159" w14:textId="2628A7D0" w:rsidR="00986219" w:rsidRPr="00267086" w:rsidRDefault="00986219" w:rsidP="00267086">
      <w:pPr>
        <w:spacing w:after="0" w:line="257" w:lineRule="auto"/>
        <w:ind w:left="14" w:hanging="14"/>
        <w:rPr>
          <w:b/>
          <w:bCs/>
          <w:sz w:val="30"/>
          <w:szCs w:val="30"/>
        </w:rPr>
      </w:pPr>
      <w:r>
        <w:rPr>
          <w:b/>
          <w:bCs/>
          <w:sz w:val="30"/>
          <w:szCs w:val="30"/>
        </w:rPr>
        <w:t>How to Code-Mesh</w:t>
      </w:r>
    </w:p>
    <w:p w14:paraId="110502F0" w14:textId="64F4BF49" w:rsidR="00032843" w:rsidRDefault="00986219" w:rsidP="00032843">
      <w:pPr>
        <w:spacing w:after="0" w:line="257" w:lineRule="auto"/>
        <w:ind w:left="14" w:hanging="14"/>
        <w:rPr>
          <w:szCs w:val="22"/>
        </w:rPr>
      </w:pPr>
      <w:r>
        <w:rPr>
          <w:szCs w:val="22"/>
        </w:rPr>
        <w:t>As Jennifer Polish points out, “there is no one way to effectively code-mesh.” Code-meshing commonly takes place in writing through syntactic and lexical choices</w:t>
      </w:r>
      <w:r w:rsidR="00D63D8A">
        <w:rPr>
          <w:szCs w:val="22"/>
        </w:rPr>
        <w:t xml:space="preserve">, so students could consider ways to incorporate sentence structures and word choices from marginalized language traditions into their academic writing. </w:t>
      </w:r>
      <w:r w:rsidR="00032843">
        <w:rPr>
          <w:szCs w:val="22"/>
        </w:rPr>
        <w:t xml:space="preserve">For example, students who are speakers of AAVE could incorporate syntactic elements of Black Language such as what linguists Samy Alim and Geneva Smitherman describe as the “invariant </w:t>
      </w:r>
      <w:r w:rsidR="00032843">
        <w:rPr>
          <w:i/>
          <w:iCs/>
          <w:szCs w:val="22"/>
        </w:rPr>
        <w:t xml:space="preserve">be </w:t>
      </w:r>
      <w:r w:rsidR="00032843">
        <w:rPr>
          <w:szCs w:val="22"/>
        </w:rPr>
        <w:t xml:space="preserve">for habitual aspect (‘He </w:t>
      </w:r>
      <w:r w:rsidR="00032843">
        <w:rPr>
          <w:i/>
          <w:iCs/>
          <w:szCs w:val="22"/>
        </w:rPr>
        <w:t xml:space="preserve">be </w:t>
      </w:r>
      <w:proofErr w:type="spellStart"/>
      <w:r w:rsidR="00032843">
        <w:rPr>
          <w:szCs w:val="22"/>
        </w:rPr>
        <w:t>talkin</w:t>
      </w:r>
      <w:proofErr w:type="spellEnd"/>
      <w:r w:rsidR="00032843">
        <w:rPr>
          <w:szCs w:val="22"/>
        </w:rPr>
        <w:t xml:space="preserve"> a lot in class,’ meaning ‘He usually/regularly/sometimes talks a lot in class’)” (170). Another example, this time meshing Spanish word choices with English ones, comes from Anzaldúa’s “How to Tame a Wild Tongue”: “Even our own people, other Spanish </w:t>
      </w:r>
      <w:proofErr w:type="gramStart"/>
      <w:r w:rsidR="00032843">
        <w:rPr>
          <w:szCs w:val="22"/>
        </w:rPr>
        <w:t>speakers</w:t>
      </w:r>
      <w:proofErr w:type="gramEnd"/>
      <w:r w:rsidR="00032843">
        <w:rPr>
          <w:szCs w:val="22"/>
        </w:rPr>
        <w:t xml:space="preserve"> </w:t>
      </w:r>
      <w:proofErr w:type="spellStart"/>
      <w:r w:rsidR="00032843">
        <w:rPr>
          <w:i/>
          <w:iCs/>
          <w:szCs w:val="22"/>
        </w:rPr>
        <w:t>nos</w:t>
      </w:r>
      <w:proofErr w:type="spellEnd"/>
      <w:r w:rsidR="00032843">
        <w:rPr>
          <w:i/>
          <w:iCs/>
          <w:szCs w:val="22"/>
        </w:rPr>
        <w:t xml:space="preserve"> </w:t>
      </w:r>
      <w:proofErr w:type="spellStart"/>
      <w:r w:rsidR="00032843">
        <w:rPr>
          <w:i/>
          <w:iCs/>
          <w:szCs w:val="22"/>
        </w:rPr>
        <w:t>quieren</w:t>
      </w:r>
      <w:proofErr w:type="spellEnd"/>
      <w:r w:rsidR="00032843">
        <w:rPr>
          <w:i/>
          <w:iCs/>
          <w:szCs w:val="22"/>
        </w:rPr>
        <w:t xml:space="preserve"> </w:t>
      </w:r>
      <w:proofErr w:type="spellStart"/>
      <w:r w:rsidR="00032843">
        <w:rPr>
          <w:i/>
          <w:iCs/>
          <w:szCs w:val="22"/>
        </w:rPr>
        <w:t>poner</w:t>
      </w:r>
      <w:proofErr w:type="spellEnd"/>
      <w:r w:rsidR="00032843">
        <w:rPr>
          <w:i/>
          <w:iCs/>
          <w:szCs w:val="22"/>
        </w:rPr>
        <w:t xml:space="preserve"> </w:t>
      </w:r>
      <w:proofErr w:type="spellStart"/>
      <w:r w:rsidR="00032843">
        <w:rPr>
          <w:i/>
          <w:iCs/>
          <w:szCs w:val="22"/>
        </w:rPr>
        <w:t>candados</w:t>
      </w:r>
      <w:proofErr w:type="spellEnd"/>
      <w:r w:rsidR="00032843">
        <w:rPr>
          <w:i/>
          <w:iCs/>
          <w:szCs w:val="22"/>
        </w:rPr>
        <w:t xml:space="preserve"> </w:t>
      </w:r>
      <w:proofErr w:type="spellStart"/>
      <w:r w:rsidR="00032843">
        <w:rPr>
          <w:i/>
          <w:iCs/>
          <w:szCs w:val="22"/>
        </w:rPr>
        <w:t>en</w:t>
      </w:r>
      <w:proofErr w:type="spellEnd"/>
      <w:r w:rsidR="00032843">
        <w:rPr>
          <w:i/>
          <w:iCs/>
          <w:szCs w:val="22"/>
        </w:rPr>
        <w:t xml:space="preserve"> la boca. </w:t>
      </w:r>
      <w:r w:rsidR="00032843">
        <w:rPr>
          <w:szCs w:val="22"/>
        </w:rPr>
        <w:t xml:space="preserve">They would hold us back with their bag of </w:t>
      </w:r>
      <w:proofErr w:type="spellStart"/>
      <w:r w:rsidR="00032843">
        <w:rPr>
          <w:i/>
          <w:iCs/>
          <w:szCs w:val="22"/>
        </w:rPr>
        <w:t>reglas</w:t>
      </w:r>
      <w:proofErr w:type="spellEnd"/>
      <w:r w:rsidR="00032843">
        <w:rPr>
          <w:i/>
          <w:iCs/>
          <w:szCs w:val="22"/>
        </w:rPr>
        <w:t xml:space="preserve"> de academia</w:t>
      </w:r>
      <w:r w:rsidR="00032843">
        <w:rPr>
          <w:szCs w:val="22"/>
        </w:rPr>
        <w:t>” (35). Brenda Hutchison and Angela Morris recommend that students study code-meshed texts as models so they can grasp the rhetorical power of code-meshing. The following reading list could be helpful for students seeking either models of code-meshed texts or more information on code-switching and code-meshing more broadly.</w:t>
      </w:r>
    </w:p>
    <w:p w14:paraId="2B62010E" w14:textId="69CF4CB4" w:rsidR="00032843" w:rsidRPr="00032843" w:rsidRDefault="00032843" w:rsidP="00986219">
      <w:pPr>
        <w:spacing w:after="0" w:line="257" w:lineRule="auto"/>
        <w:ind w:left="14" w:hanging="14"/>
        <w:rPr>
          <w:sz w:val="10"/>
          <w:szCs w:val="10"/>
        </w:rPr>
      </w:pPr>
    </w:p>
    <w:p w14:paraId="710106F2" w14:textId="77878C92" w:rsidR="00032843" w:rsidRPr="00267086" w:rsidRDefault="00032843" w:rsidP="00267086">
      <w:pPr>
        <w:spacing w:after="0" w:line="257" w:lineRule="auto"/>
        <w:ind w:left="0" w:firstLine="0"/>
        <w:rPr>
          <w:b/>
          <w:bCs/>
          <w:sz w:val="30"/>
          <w:szCs w:val="30"/>
        </w:rPr>
      </w:pPr>
      <w:r>
        <w:rPr>
          <w:b/>
          <w:bCs/>
          <w:sz w:val="30"/>
          <w:szCs w:val="30"/>
        </w:rPr>
        <w:t>Future Reading and Handout Sources</w:t>
      </w:r>
    </w:p>
    <w:p w14:paraId="4B2F1E08" w14:textId="52A076F9" w:rsidR="00EE0979" w:rsidRPr="00032843" w:rsidRDefault="00F77AB3" w:rsidP="00EE0979">
      <w:pPr>
        <w:spacing w:after="0" w:line="360" w:lineRule="auto"/>
        <w:ind w:left="0" w:right="101" w:hanging="14"/>
        <w:rPr>
          <w:sz w:val="18"/>
          <w:szCs w:val="18"/>
        </w:rPr>
      </w:pPr>
      <w:r w:rsidRPr="00032843">
        <w:rPr>
          <w:sz w:val="18"/>
          <w:szCs w:val="18"/>
        </w:rPr>
        <w:t xml:space="preserve">Alim, H. Samy and Geneva Smitherman. </w:t>
      </w:r>
      <w:r w:rsidRPr="00032843">
        <w:rPr>
          <w:i/>
          <w:iCs/>
          <w:sz w:val="18"/>
          <w:szCs w:val="18"/>
        </w:rPr>
        <w:t>Articulate While Black: Barack Obama, Language, and Race in the U.S.</w:t>
      </w:r>
      <w:r w:rsidR="00EE0979" w:rsidRPr="00032843">
        <w:rPr>
          <w:sz w:val="18"/>
          <w:szCs w:val="18"/>
        </w:rPr>
        <w:t>,</w:t>
      </w:r>
    </w:p>
    <w:p w14:paraId="083A3DC3" w14:textId="75EAC908" w:rsidR="00F77AB3" w:rsidRPr="00032843" w:rsidRDefault="00F77AB3" w:rsidP="00EE0979">
      <w:pPr>
        <w:spacing w:after="0" w:line="360" w:lineRule="auto"/>
        <w:ind w:left="-5" w:right="96" w:firstLine="725"/>
        <w:rPr>
          <w:sz w:val="18"/>
          <w:szCs w:val="18"/>
        </w:rPr>
      </w:pPr>
      <w:r w:rsidRPr="00032843">
        <w:rPr>
          <w:sz w:val="18"/>
          <w:szCs w:val="18"/>
        </w:rPr>
        <w:t>Oxford UP, 2012.</w:t>
      </w:r>
      <w:r w:rsidRPr="00032843">
        <w:rPr>
          <w:i/>
          <w:iCs/>
          <w:sz w:val="18"/>
          <w:szCs w:val="18"/>
        </w:rPr>
        <w:t> </w:t>
      </w:r>
    </w:p>
    <w:p w14:paraId="22235F02" w14:textId="4A03FB7B" w:rsidR="00032843" w:rsidRPr="00032843" w:rsidRDefault="00032843" w:rsidP="00EE0979">
      <w:pPr>
        <w:spacing w:after="0" w:line="360" w:lineRule="auto"/>
        <w:ind w:left="-5" w:right="96"/>
        <w:rPr>
          <w:sz w:val="18"/>
          <w:szCs w:val="18"/>
        </w:rPr>
      </w:pPr>
      <w:r w:rsidRPr="00032843">
        <w:rPr>
          <w:sz w:val="18"/>
          <w:szCs w:val="18"/>
        </w:rPr>
        <w:t xml:space="preserve">Anzaldúa, Gloria. </w:t>
      </w:r>
      <w:r w:rsidRPr="00032843">
        <w:rPr>
          <w:i/>
          <w:iCs/>
          <w:sz w:val="18"/>
          <w:szCs w:val="18"/>
        </w:rPr>
        <w:t>Borderlands/La Frontera: The New Mestiza</w:t>
      </w:r>
      <w:r w:rsidRPr="00032843">
        <w:rPr>
          <w:sz w:val="18"/>
          <w:szCs w:val="18"/>
        </w:rPr>
        <w:t>, Aunt Lute, 1987.</w:t>
      </w:r>
    </w:p>
    <w:p w14:paraId="29C57A1C" w14:textId="15D37D25" w:rsidR="00F77AB3" w:rsidRPr="00032843" w:rsidRDefault="00F77AB3" w:rsidP="00EE0979">
      <w:pPr>
        <w:spacing w:after="0" w:line="360" w:lineRule="auto"/>
        <w:ind w:left="-5" w:right="96"/>
        <w:rPr>
          <w:i/>
          <w:iCs/>
          <w:sz w:val="18"/>
          <w:szCs w:val="18"/>
        </w:rPr>
      </w:pPr>
      <w:r w:rsidRPr="00032843">
        <w:rPr>
          <w:sz w:val="18"/>
          <w:szCs w:val="18"/>
        </w:rPr>
        <w:t xml:space="preserve">Baker-Bell, April. </w:t>
      </w:r>
      <w:r w:rsidRPr="00032843">
        <w:rPr>
          <w:i/>
          <w:iCs/>
          <w:sz w:val="18"/>
          <w:szCs w:val="18"/>
        </w:rPr>
        <w:t>Linguistic Justice: Black Language, Literacy, Identity, and Pedagogy</w:t>
      </w:r>
      <w:r w:rsidRPr="00032843">
        <w:rPr>
          <w:sz w:val="18"/>
          <w:szCs w:val="18"/>
        </w:rPr>
        <w:t>. Routledge, 2020.</w:t>
      </w:r>
      <w:r w:rsidRPr="00032843">
        <w:rPr>
          <w:i/>
          <w:iCs/>
          <w:sz w:val="18"/>
          <w:szCs w:val="18"/>
        </w:rPr>
        <w:t> </w:t>
      </w:r>
    </w:p>
    <w:p w14:paraId="3E84BA84" w14:textId="77777777" w:rsidR="00032843" w:rsidRPr="00032843" w:rsidRDefault="00032843" w:rsidP="00EE0979">
      <w:pPr>
        <w:spacing w:after="0" w:line="360" w:lineRule="auto"/>
        <w:ind w:left="-5" w:right="96"/>
        <w:rPr>
          <w:sz w:val="18"/>
          <w:szCs w:val="18"/>
        </w:rPr>
      </w:pPr>
      <w:r w:rsidRPr="00032843">
        <w:rPr>
          <w:sz w:val="18"/>
          <w:szCs w:val="18"/>
        </w:rPr>
        <w:t xml:space="preserve">DeChavez, Yvette. “It’s Time to Decolonize That Syllabus.” </w:t>
      </w:r>
      <w:r w:rsidRPr="00032843">
        <w:rPr>
          <w:i/>
          <w:iCs/>
          <w:sz w:val="18"/>
          <w:szCs w:val="18"/>
        </w:rPr>
        <w:t>Los Angeles Times</w:t>
      </w:r>
      <w:r w:rsidRPr="00032843">
        <w:rPr>
          <w:sz w:val="18"/>
          <w:szCs w:val="18"/>
        </w:rPr>
        <w:t xml:space="preserve">, </w:t>
      </w:r>
    </w:p>
    <w:p w14:paraId="6D74B7A6" w14:textId="364C4217" w:rsidR="00032843" w:rsidRPr="00032843" w:rsidRDefault="00032843" w:rsidP="00032843">
      <w:pPr>
        <w:spacing w:after="0" w:line="360" w:lineRule="auto"/>
        <w:ind w:left="-5" w:right="96" w:firstLine="725"/>
        <w:rPr>
          <w:sz w:val="18"/>
          <w:szCs w:val="18"/>
        </w:rPr>
      </w:pPr>
      <w:hyperlink r:id="rId9" w:history="1">
        <w:r w:rsidRPr="00032843">
          <w:rPr>
            <w:rStyle w:val="Hyperlink"/>
            <w:sz w:val="18"/>
            <w:szCs w:val="18"/>
          </w:rPr>
          <w:t>www.latimes.com/books/la-et-jc-decolonize-syllabus-20181008-story.html</w:t>
        </w:r>
      </w:hyperlink>
      <w:r w:rsidRPr="00032843">
        <w:rPr>
          <w:sz w:val="18"/>
          <w:szCs w:val="18"/>
        </w:rPr>
        <w:t>. Accessed 28 April 2021.</w:t>
      </w:r>
    </w:p>
    <w:p w14:paraId="0998CDD4" w14:textId="77777777" w:rsidR="008817DC" w:rsidRDefault="00032843" w:rsidP="00032843">
      <w:pPr>
        <w:spacing w:after="0" w:line="360" w:lineRule="auto"/>
        <w:ind w:right="96"/>
        <w:rPr>
          <w:sz w:val="18"/>
          <w:szCs w:val="18"/>
        </w:rPr>
      </w:pPr>
      <w:r w:rsidRPr="00032843">
        <w:rPr>
          <w:sz w:val="18"/>
          <w:szCs w:val="18"/>
        </w:rPr>
        <w:t xml:space="preserve">“Dr. Vershawn A. Young.” </w:t>
      </w:r>
      <w:r w:rsidRPr="00032843">
        <w:rPr>
          <w:i/>
          <w:iCs/>
          <w:sz w:val="18"/>
          <w:szCs w:val="18"/>
        </w:rPr>
        <w:t>Connections</w:t>
      </w:r>
      <w:r w:rsidRPr="00032843">
        <w:rPr>
          <w:sz w:val="18"/>
          <w:szCs w:val="18"/>
        </w:rPr>
        <w:t>. PBS, KET, Lexington, 17 Feb. 2014.</w:t>
      </w:r>
      <w:r w:rsidR="00267086">
        <w:rPr>
          <w:sz w:val="18"/>
          <w:szCs w:val="18"/>
        </w:rPr>
        <w:t xml:space="preserve"> </w:t>
      </w:r>
    </w:p>
    <w:p w14:paraId="0B523232" w14:textId="0218B9B4" w:rsidR="00032843" w:rsidRPr="00032843" w:rsidRDefault="00267086" w:rsidP="008817DC">
      <w:pPr>
        <w:spacing w:after="0" w:line="360" w:lineRule="auto"/>
        <w:ind w:right="96" w:firstLine="710"/>
        <w:rPr>
          <w:sz w:val="18"/>
          <w:szCs w:val="18"/>
        </w:rPr>
      </w:pPr>
      <w:r w:rsidRPr="00267086">
        <w:rPr>
          <w:sz w:val="18"/>
          <w:szCs w:val="18"/>
        </w:rPr>
        <w:t>https://www.pbs.org/video/connections-dr-vershawn-young/</w:t>
      </w:r>
    </w:p>
    <w:p w14:paraId="17EA43DD" w14:textId="77777777" w:rsidR="00F77AB3" w:rsidRPr="00032843" w:rsidRDefault="00F77AB3" w:rsidP="00EE0979">
      <w:pPr>
        <w:spacing w:after="0" w:line="360" w:lineRule="auto"/>
        <w:ind w:left="-5" w:right="96"/>
        <w:rPr>
          <w:sz w:val="18"/>
          <w:szCs w:val="18"/>
        </w:rPr>
      </w:pPr>
      <w:r w:rsidRPr="00032843">
        <w:rPr>
          <w:sz w:val="18"/>
          <w:szCs w:val="18"/>
        </w:rPr>
        <w:t>Greenfield, Laura. “The ‘Standard English’ Fairy Tale: A Rhetorical Analysis of Racist Pedagogies and</w:t>
      </w:r>
    </w:p>
    <w:p w14:paraId="0DB1C0BC" w14:textId="4B9DCACC" w:rsidR="00EE0979" w:rsidRPr="00032843" w:rsidRDefault="00F77AB3" w:rsidP="00EE0979">
      <w:pPr>
        <w:spacing w:after="0" w:line="360" w:lineRule="auto"/>
        <w:ind w:left="0" w:right="96" w:firstLine="720"/>
        <w:rPr>
          <w:i/>
          <w:iCs/>
          <w:sz w:val="18"/>
          <w:szCs w:val="18"/>
        </w:rPr>
      </w:pPr>
      <w:r w:rsidRPr="00032843">
        <w:rPr>
          <w:sz w:val="18"/>
          <w:szCs w:val="18"/>
        </w:rPr>
        <w:t xml:space="preserve">Commonplace Assumptions about Language Diversity.” </w:t>
      </w:r>
      <w:r w:rsidRPr="00032843">
        <w:rPr>
          <w:i/>
          <w:iCs/>
          <w:sz w:val="18"/>
          <w:szCs w:val="18"/>
        </w:rPr>
        <w:t>Writing Centers and the New Racism: A Call for</w:t>
      </w:r>
    </w:p>
    <w:p w14:paraId="113A37E6" w14:textId="3A8B5111" w:rsidR="00F77AB3" w:rsidRPr="00032843" w:rsidRDefault="00F77AB3" w:rsidP="00EE0979">
      <w:pPr>
        <w:spacing w:after="0" w:line="360" w:lineRule="auto"/>
        <w:ind w:left="720" w:right="96" w:firstLine="0"/>
        <w:rPr>
          <w:sz w:val="18"/>
          <w:szCs w:val="18"/>
        </w:rPr>
      </w:pPr>
      <w:r w:rsidRPr="00032843">
        <w:rPr>
          <w:i/>
          <w:iCs/>
          <w:sz w:val="18"/>
          <w:szCs w:val="18"/>
        </w:rPr>
        <w:t>Sustainable Dialogue and Change</w:t>
      </w:r>
      <w:r w:rsidRPr="00032843">
        <w:rPr>
          <w:sz w:val="18"/>
          <w:szCs w:val="18"/>
        </w:rPr>
        <w:t>, edited by Laura Greenfield and Karen Rowan, Utah State UP, 2011, pp. 33-60.</w:t>
      </w:r>
    </w:p>
    <w:p w14:paraId="68E0F90F" w14:textId="77777777" w:rsidR="00032843" w:rsidRPr="00032843" w:rsidRDefault="00032843" w:rsidP="00032843">
      <w:pPr>
        <w:spacing w:after="0" w:line="360" w:lineRule="auto"/>
        <w:ind w:right="96"/>
        <w:rPr>
          <w:sz w:val="18"/>
          <w:szCs w:val="18"/>
        </w:rPr>
      </w:pPr>
      <w:r w:rsidRPr="00032843">
        <w:rPr>
          <w:sz w:val="18"/>
          <w:szCs w:val="18"/>
        </w:rPr>
        <w:t xml:space="preserve">Griffin, Endiya and Tatiana Howell. “Discover the Powerful CPU of Code-Switching.” </w:t>
      </w:r>
      <w:r w:rsidRPr="00032843">
        <w:rPr>
          <w:i/>
          <w:iCs/>
          <w:sz w:val="18"/>
          <w:szCs w:val="18"/>
        </w:rPr>
        <w:t>YouTube</w:t>
      </w:r>
      <w:r w:rsidRPr="00032843">
        <w:rPr>
          <w:sz w:val="18"/>
          <w:szCs w:val="18"/>
        </w:rPr>
        <w:t>, uploaded by</w:t>
      </w:r>
    </w:p>
    <w:p w14:paraId="5003C1F5" w14:textId="2EA77284" w:rsidR="00032843" w:rsidRPr="00032843" w:rsidRDefault="00032843" w:rsidP="00032843">
      <w:pPr>
        <w:spacing w:after="0" w:line="360" w:lineRule="auto"/>
        <w:ind w:right="96" w:firstLine="710"/>
        <w:rPr>
          <w:sz w:val="18"/>
          <w:szCs w:val="18"/>
        </w:rPr>
      </w:pPr>
      <w:r w:rsidRPr="00032843">
        <w:rPr>
          <w:sz w:val="18"/>
          <w:szCs w:val="18"/>
        </w:rPr>
        <w:t>TEDx Talks, 5 June 2019, www.youtube.com/watch?v=JtINpW1j-m4.</w:t>
      </w:r>
    </w:p>
    <w:p w14:paraId="3793BBE0" w14:textId="77777777" w:rsidR="00032843" w:rsidRPr="00032843" w:rsidRDefault="00032843" w:rsidP="00032843">
      <w:pPr>
        <w:spacing w:after="0" w:line="360" w:lineRule="auto"/>
        <w:ind w:right="96"/>
        <w:rPr>
          <w:sz w:val="18"/>
          <w:szCs w:val="18"/>
        </w:rPr>
      </w:pPr>
      <w:r w:rsidRPr="00032843">
        <w:rPr>
          <w:sz w:val="18"/>
          <w:szCs w:val="18"/>
        </w:rPr>
        <w:t>Hutchison, Brenda and Angela Morris. “Mesh It, Y’all: Promoting Code-Meshing Through Writing Center</w:t>
      </w:r>
    </w:p>
    <w:p w14:paraId="5B51DEAE" w14:textId="66ED4598" w:rsidR="00032843" w:rsidRPr="00032843" w:rsidRDefault="00032843" w:rsidP="00032843">
      <w:pPr>
        <w:spacing w:after="0" w:line="360" w:lineRule="auto"/>
        <w:ind w:left="720" w:right="96" w:firstLine="0"/>
        <w:rPr>
          <w:sz w:val="18"/>
          <w:szCs w:val="18"/>
        </w:rPr>
      </w:pPr>
      <w:r w:rsidRPr="00032843">
        <w:rPr>
          <w:sz w:val="18"/>
          <w:szCs w:val="18"/>
        </w:rPr>
        <w:t xml:space="preserve">Workshops.” </w:t>
      </w:r>
      <w:r w:rsidRPr="00032843">
        <w:rPr>
          <w:i/>
          <w:iCs/>
          <w:sz w:val="18"/>
          <w:szCs w:val="18"/>
        </w:rPr>
        <w:t>The Peer Review</w:t>
      </w:r>
      <w:r w:rsidRPr="00032843">
        <w:rPr>
          <w:sz w:val="18"/>
          <w:szCs w:val="18"/>
        </w:rPr>
        <w:t>, vol. 4, no. 2, 2020, thepeerreview-iwca.org/issues/issue-4-2/mesh-it-yall-promoting-code-meshing-through-writing-center-workshops. Accessed 7 April 2021.</w:t>
      </w:r>
    </w:p>
    <w:p w14:paraId="75957874" w14:textId="77777777" w:rsidR="00032843" w:rsidRPr="00032843" w:rsidRDefault="00032843" w:rsidP="00032843">
      <w:pPr>
        <w:spacing w:after="0" w:line="360" w:lineRule="auto"/>
        <w:ind w:right="96"/>
        <w:rPr>
          <w:sz w:val="18"/>
          <w:szCs w:val="18"/>
        </w:rPr>
      </w:pPr>
      <w:r w:rsidRPr="00032843">
        <w:rPr>
          <w:sz w:val="18"/>
          <w:szCs w:val="18"/>
        </w:rPr>
        <w:t>Laverick, Erin K. “Code Meshing in Digital Narratives: An Effective Rhetorical Strategy for English</w:t>
      </w:r>
    </w:p>
    <w:p w14:paraId="0911E2EB" w14:textId="15799D55" w:rsidR="00032843" w:rsidRPr="00032843" w:rsidRDefault="00032843" w:rsidP="00032843">
      <w:pPr>
        <w:spacing w:after="0" w:line="360" w:lineRule="auto"/>
        <w:ind w:left="720" w:right="96" w:firstLine="0"/>
        <w:rPr>
          <w:sz w:val="18"/>
          <w:szCs w:val="18"/>
        </w:rPr>
      </w:pPr>
      <w:r w:rsidRPr="00032843">
        <w:rPr>
          <w:sz w:val="18"/>
          <w:szCs w:val="18"/>
        </w:rPr>
        <w:t xml:space="preserve">Language Learners.” </w:t>
      </w:r>
      <w:r w:rsidRPr="00032843">
        <w:rPr>
          <w:i/>
          <w:iCs/>
          <w:sz w:val="18"/>
          <w:szCs w:val="18"/>
        </w:rPr>
        <w:t>SLWIS Newsletter</w:t>
      </w:r>
      <w:r w:rsidRPr="00032843">
        <w:rPr>
          <w:sz w:val="18"/>
          <w:szCs w:val="18"/>
        </w:rPr>
        <w:t>, March 2012, newsmanager.commpartners.com/tesolslwis/textonly/2012-03-10/2.html. Accessed 7 April 2021.</w:t>
      </w:r>
    </w:p>
    <w:p w14:paraId="325752DC" w14:textId="77777777" w:rsidR="00EE0979" w:rsidRPr="00032843" w:rsidRDefault="00EE0979" w:rsidP="00EE0979">
      <w:pPr>
        <w:spacing w:after="0" w:line="360" w:lineRule="auto"/>
        <w:ind w:left="-5" w:right="96"/>
        <w:rPr>
          <w:sz w:val="18"/>
          <w:szCs w:val="18"/>
        </w:rPr>
      </w:pPr>
      <w:r w:rsidRPr="00032843">
        <w:rPr>
          <w:sz w:val="18"/>
          <w:szCs w:val="18"/>
        </w:rPr>
        <w:t xml:space="preserve">McCluney, Courtney et al. “The Costs of Code-Switching.” </w:t>
      </w:r>
      <w:r w:rsidRPr="00032843">
        <w:rPr>
          <w:i/>
          <w:iCs/>
          <w:sz w:val="18"/>
          <w:szCs w:val="18"/>
        </w:rPr>
        <w:t>Harvard Business Review</w:t>
      </w:r>
      <w:r w:rsidRPr="00032843">
        <w:rPr>
          <w:sz w:val="18"/>
          <w:szCs w:val="18"/>
        </w:rPr>
        <w:t>, 15 Nov. 2019,</w:t>
      </w:r>
    </w:p>
    <w:p w14:paraId="7B54BF03" w14:textId="01D5D943" w:rsidR="00EE0979" w:rsidRPr="00032843" w:rsidRDefault="00EE0979" w:rsidP="00EE0979">
      <w:pPr>
        <w:spacing w:after="0" w:line="360" w:lineRule="auto"/>
        <w:ind w:left="-5" w:right="96" w:firstLine="725"/>
        <w:rPr>
          <w:sz w:val="18"/>
          <w:szCs w:val="18"/>
        </w:rPr>
      </w:pPr>
      <w:r w:rsidRPr="00032843">
        <w:rPr>
          <w:sz w:val="18"/>
          <w:szCs w:val="18"/>
        </w:rPr>
        <w:t>hbr.org/2019/11/the-costs-of-codeswitching. Accessed 3 Feb. 2021.</w:t>
      </w:r>
    </w:p>
    <w:p w14:paraId="0B5AAFB1" w14:textId="77777777" w:rsidR="00032843" w:rsidRPr="00032843" w:rsidRDefault="00032843" w:rsidP="00032843">
      <w:pPr>
        <w:spacing w:after="0" w:line="360" w:lineRule="auto"/>
        <w:ind w:right="96"/>
        <w:rPr>
          <w:sz w:val="18"/>
          <w:szCs w:val="18"/>
        </w:rPr>
      </w:pPr>
      <w:r w:rsidRPr="00032843">
        <w:rPr>
          <w:sz w:val="18"/>
          <w:szCs w:val="18"/>
        </w:rPr>
        <w:t xml:space="preserve">Polish, Jennifer. “Write Tips.” </w:t>
      </w:r>
      <w:r w:rsidRPr="00032843">
        <w:rPr>
          <w:i/>
          <w:iCs/>
          <w:sz w:val="18"/>
          <w:szCs w:val="18"/>
        </w:rPr>
        <w:t>College Writing 101: Mobility in a Cultural Context</w:t>
      </w:r>
      <w:r w:rsidRPr="00032843">
        <w:rPr>
          <w:sz w:val="18"/>
          <w:szCs w:val="18"/>
        </w:rPr>
        <w:t>, 2006,</w:t>
      </w:r>
    </w:p>
    <w:p w14:paraId="4BBDD999" w14:textId="29610DC9" w:rsidR="00032843" w:rsidRPr="00032843" w:rsidRDefault="00032843" w:rsidP="00032843">
      <w:pPr>
        <w:spacing w:after="0" w:line="360" w:lineRule="auto"/>
        <w:ind w:right="96" w:firstLine="710"/>
        <w:rPr>
          <w:sz w:val="18"/>
          <w:szCs w:val="18"/>
        </w:rPr>
      </w:pPr>
      <w:hyperlink r:id="rId10" w:history="1">
        <w:r w:rsidRPr="00032843">
          <w:rPr>
            <w:rStyle w:val="Hyperlink"/>
            <w:sz w:val="18"/>
            <w:szCs w:val="18"/>
          </w:rPr>
          <w:t>mobilityincontextspring16a.qwriting.qc.cuny.edu/write-tips/</w:t>
        </w:r>
      </w:hyperlink>
      <w:r w:rsidRPr="00032843">
        <w:rPr>
          <w:sz w:val="18"/>
          <w:szCs w:val="18"/>
        </w:rPr>
        <w:t>. Accessed 7 April 2021.</w:t>
      </w:r>
    </w:p>
    <w:p w14:paraId="52EB76E9" w14:textId="77777777" w:rsidR="00032843" w:rsidRPr="00032843" w:rsidRDefault="00032843" w:rsidP="00032843">
      <w:pPr>
        <w:spacing w:after="0" w:line="360" w:lineRule="auto"/>
        <w:ind w:right="96"/>
        <w:rPr>
          <w:sz w:val="18"/>
          <w:szCs w:val="18"/>
        </w:rPr>
      </w:pPr>
      <w:r w:rsidRPr="00032843">
        <w:rPr>
          <w:sz w:val="18"/>
          <w:szCs w:val="18"/>
        </w:rPr>
        <w:t>Shelton, Cecilia D. and Emily E. Howson, “Disputing Authority: Writing Mentors and Code-Meshing</w:t>
      </w:r>
    </w:p>
    <w:p w14:paraId="6DA1934E" w14:textId="085F812E" w:rsidR="00032843" w:rsidRPr="00032843" w:rsidRDefault="00032843" w:rsidP="00032843">
      <w:pPr>
        <w:spacing w:after="0" w:line="360" w:lineRule="auto"/>
        <w:ind w:left="720" w:right="96" w:firstLine="0"/>
        <w:rPr>
          <w:sz w:val="18"/>
          <w:szCs w:val="18"/>
        </w:rPr>
      </w:pPr>
      <w:r w:rsidRPr="00032843">
        <w:rPr>
          <w:sz w:val="18"/>
          <w:szCs w:val="18"/>
        </w:rPr>
        <w:t xml:space="preserve">Pedagogy.” </w:t>
      </w:r>
      <w:r w:rsidRPr="00032843">
        <w:rPr>
          <w:i/>
          <w:iCs/>
          <w:sz w:val="18"/>
          <w:szCs w:val="18"/>
        </w:rPr>
        <w:t>Praxis</w:t>
      </w:r>
      <w:r w:rsidRPr="00032843">
        <w:rPr>
          <w:sz w:val="18"/>
          <w:szCs w:val="18"/>
        </w:rPr>
        <w:t xml:space="preserve">, vol. 12, no. 1, 2014, </w:t>
      </w:r>
      <w:hyperlink r:id="rId11" w:history="1">
        <w:r w:rsidRPr="00032843">
          <w:rPr>
            <w:rStyle w:val="Hyperlink"/>
            <w:sz w:val="18"/>
            <w:szCs w:val="18"/>
          </w:rPr>
          <w:t>www.praxisuwc.com/shelton-howson-121</w:t>
        </w:r>
      </w:hyperlink>
      <w:r w:rsidRPr="00032843">
        <w:rPr>
          <w:sz w:val="18"/>
          <w:szCs w:val="18"/>
        </w:rPr>
        <w:t>. Accessed 8 April 2021.</w:t>
      </w:r>
    </w:p>
    <w:p w14:paraId="3F073E16" w14:textId="6D7CA527" w:rsidR="009F0DBD" w:rsidRPr="00032843" w:rsidRDefault="00F77AB3" w:rsidP="00032843">
      <w:pPr>
        <w:spacing w:after="0" w:line="360" w:lineRule="auto"/>
        <w:ind w:left="-5" w:right="96"/>
        <w:rPr>
          <w:sz w:val="18"/>
          <w:szCs w:val="18"/>
        </w:rPr>
      </w:pPr>
      <w:r w:rsidRPr="00032843">
        <w:rPr>
          <w:sz w:val="18"/>
          <w:szCs w:val="18"/>
        </w:rPr>
        <w:t xml:space="preserve">Young, Vershawn Ashanti. </w:t>
      </w:r>
      <w:r w:rsidRPr="00032843">
        <w:rPr>
          <w:i/>
          <w:iCs/>
          <w:sz w:val="18"/>
          <w:szCs w:val="18"/>
        </w:rPr>
        <w:t>Other People’s English: Code-Meshing, Code-Switching, and African American Literacy</w:t>
      </w:r>
      <w:r w:rsidRPr="00032843">
        <w:rPr>
          <w:sz w:val="18"/>
          <w:szCs w:val="18"/>
        </w:rPr>
        <w:t>.</w:t>
      </w:r>
      <w:r w:rsidR="00032843">
        <w:rPr>
          <w:sz w:val="18"/>
          <w:szCs w:val="18"/>
        </w:rPr>
        <w:t xml:space="preserve"> </w:t>
      </w:r>
      <w:r w:rsidRPr="00032843">
        <w:rPr>
          <w:sz w:val="18"/>
          <w:szCs w:val="18"/>
        </w:rPr>
        <w:t>Teacher’s College, 2014.</w:t>
      </w:r>
    </w:p>
    <w:sectPr w:rsidR="009F0DBD" w:rsidRPr="00032843" w:rsidSect="00801FBB">
      <w:headerReference w:type="default" r:id="rId12"/>
      <w:footerReference w:type="default" r:id="rId13"/>
      <w:headerReference w:type="first" r:id="rId14"/>
      <w:footerReference w:type="first" r:id="rId15"/>
      <w:pgSz w:w="12240" w:h="15840"/>
      <w:pgMar w:top="360" w:right="1346" w:bottom="868"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BAFF0" w14:textId="77777777" w:rsidR="00624398" w:rsidRDefault="00624398" w:rsidP="00920FCC">
      <w:pPr>
        <w:spacing w:after="0" w:line="240" w:lineRule="auto"/>
      </w:pPr>
      <w:r>
        <w:separator/>
      </w:r>
    </w:p>
  </w:endnote>
  <w:endnote w:type="continuationSeparator" w:id="0">
    <w:p w14:paraId="7FA87FDD" w14:textId="77777777" w:rsidR="00624398" w:rsidRDefault="00624398" w:rsidP="00920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330F0" w14:textId="77777777" w:rsidR="00EE2ECA" w:rsidRDefault="00EE2ECA" w:rsidP="00EE2ECA">
    <w:pPr>
      <w:spacing w:after="95" w:line="259" w:lineRule="auto"/>
      <w:ind w:left="-29" w:firstLine="0"/>
    </w:pPr>
    <w:r>
      <w:rPr>
        <w:rFonts w:ascii="Calibri" w:eastAsia="Calibri" w:hAnsi="Calibri" w:cs="Calibri"/>
        <w:noProof/>
      </w:rPr>
      <mc:AlternateContent>
        <mc:Choice Requires="wpg">
          <w:drawing>
            <wp:inline distT="0" distB="0" distL="0" distR="0" wp14:anchorId="24C38714" wp14:editId="7C21C9BA">
              <wp:extent cx="5980176" cy="3049"/>
              <wp:effectExtent l="0" t="0" r="0" b="0"/>
              <wp:docPr id="4" name="Group 4"/>
              <wp:cNvGraphicFramePr/>
              <a:graphic xmlns:a="http://schemas.openxmlformats.org/drawingml/2006/main">
                <a:graphicData uri="http://schemas.microsoft.com/office/word/2010/wordprocessingGroup">
                  <wpg:wgp>
                    <wpg:cNvGrpSpPr/>
                    <wpg:grpSpPr>
                      <a:xfrm>
                        <a:off x="0" y="0"/>
                        <a:ext cx="5980176" cy="3049"/>
                        <a:chOff x="0" y="0"/>
                        <a:chExt cx="5980176" cy="3049"/>
                      </a:xfrm>
                    </wpg:grpSpPr>
                    <wps:wsp>
                      <wps:cNvPr id="5" name="Shape 3748"/>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A2803DF" id="Group 4" o:spid="_x0000_s1026" style="width:470.9pt;height:.25pt;mso-position-horizontal-relative:char;mso-position-vertical-relative:line" coordsize="5980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">
              <v:shape id="Shape 3748"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" path="m,l5980176,r,9144l,9144,,e" fillcolor="black" stroked="f" strokeweight="0">
                <v:stroke miterlimit="83231f" joinstyle="miter"/>
                <v:path arrowok="t" textboxrect="0,0,5980176,9144"/>
              </v:shape>
              <w10:anchorlock/>
            </v:group>
          </w:pict>
        </mc:Fallback>
      </mc:AlternateContent>
    </w:r>
  </w:p>
  <w:p w14:paraId="74691903" w14:textId="77777777" w:rsidR="00EE2ECA" w:rsidRDefault="00EE2ECA" w:rsidP="00EE2ECA">
    <w:pPr>
      <w:spacing w:after="44" w:line="259" w:lineRule="auto"/>
      <w:ind w:left="-5"/>
    </w:pPr>
    <w:r>
      <w:rPr>
        <w:rFonts w:ascii="Calibri" w:eastAsia="Calibri" w:hAnsi="Calibri" w:cs="Calibri"/>
        <w:sz w:val="18"/>
      </w:rPr>
      <w:t xml:space="preserve">University Writing Center | The University of Texas at Austin | uwc.utexas.edu | PCL 2.330 | 512.471.6222 </w:t>
    </w:r>
  </w:p>
  <w:p w14:paraId="7EF18045" w14:textId="0C734B45" w:rsidR="00EE2ECA" w:rsidRDefault="00EE2ECA" w:rsidP="00EE2ECA">
    <w:pPr>
      <w:spacing w:after="44" w:line="259" w:lineRule="auto"/>
      <w:ind w:left="-5"/>
    </w:pPr>
    <w:r>
      <w:rPr>
        <w:rFonts w:ascii="Calibri" w:eastAsia="Calibri" w:hAnsi="Calibri" w:cs="Calibri"/>
        <w:sz w:val="18"/>
      </w:rPr>
      <w:t xml:space="preserve">Created by </w:t>
    </w:r>
    <w:r w:rsidR="00EE0979">
      <w:rPr>
        <w:rFonts w:ascii="Calibri" w:eastAsia="Calibri" w:hAnsi="Calibri" w:cs="Calibri"/>
        <w:sz w:val="18"/>
      </w:rPr>
      <w:t>Teri Fickling</w:t>
    </w:r>
    <w:r>
      <w:rPr>
        <w:rFonts w:ascii="Calibri" w:eastAsia="Calibri" w:hAnsi="Calibri" w:cs="Calibri"/>
        <w:sz w:val="18"/>
      </w:rPr>
      <w:t xml:space="preserve">, </w:t>
    </w:r>
    <w:r w:rsidR="00032843">
      <w:rPr>
        <w:rFonts w:ascii="Calibri" w:eastAsia="Calibri" w:hAnsi="Calibri" w:cs="Calibri"/>
        <w:sz w:val="18"/>
      </w:rPr>
      <w:t>April</w:t>
    </w:r>
    <w:r>
      <w:rPr>
        <w:rFonts w:ascii="Calibri" w:eastAsia="Calibri" w:hAnsi="Calibri" w:cs="Calibri"/>
        <w:sz w:val="18"/>
      </w:rPr>
      <w:t xml:space="preserve"> 20</w:t>
    </w:r>
    <w:r w:rsidR="00EE0979">
      <w:rPr>
        <w:rFonts w:ascii="Calibri" w:eastAsia="Calibri" w:hAnsi="Calibri" w:cs="Calibri"/>
        <w:sz w:val="18"/>
      </w:rPr>
      <w:t>2</w:t>
    </w:r>
    <w:r>
      <w:rPr>
        <w:rFonts w:ascii="Calibri" w:eastAsia="Calibri" w:hAnsi="Calibri" w:cs="Calibri"/>
        <w:sz w:val="18"/>
      </w:rPr>
      <w:t xml:space="preserve">1 | </w:t>
    </w:r>
  </w:p>
  <w:p w14:paraId="11D2E4C2" w14:textId="77777777" w:rsidR="00EE2ECA" w:rsidRDefault="00EE2E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68FBA" w14:textId="77777777" w:rsidR="00EE2ECA" w:rsidRDefault="00EE2ECA" w:rsidP="00EE2ECA">
    <w:pPr>
      <w:spacing w:after="95" w:line="259" w:lineRule="auto"/>
      <w:ind w:left="-29" w:firstLine="0"/>
    </w:pPr>
    <w:r>
      <w:rPr>
        <w:rFonts w:ascii="Calibri" w:eastAsia="Calibri" w:hAnsi="Calibri" w:cs="Calibri"/>
        <w:noProof/>
      </w:rPr>
      <mc:AlternateContent>
        <mc:Choice Requires="wpg">
          <w:drawing>
            <wp:inline distT="0" distB="0" distL="0" distR="0" wp14:anchorId="7A64407E" wp14:editId="730B17A2">
              <wp:extent cx="5980176" cy="3049"/>
              <wp:effectExtent l="0" t="0" r="0" b="0"/>
              <wp:docPr id="1" name="Group 1"/>
              <wp:cNvGraphicFramePr/>
              <a:graphic xmlns:a="http://schemas.openxmlformats.org/drawingml/2006/main">
                <a:graphicData uri="http://schemas.microsoft.com/office/word/2010/wordprocessingGroup">
                  <wpg:wgp>
                    <wpg:cNvGrpSpPr/>
                    <wpg:grpSpPr>
                      <a:xfrm>
                        <a:off x="0" y="0"/>
                        <a:ext cx="5980176" cy="3049"/>
                        <a:chOff x="0" y="0"/>
                        <a:chExt cx="5980176" cy="3049"/>
                      </a:xfrm>
                    </wpg:grpSpPr>
                    <wps:wsp>
                      <wps:cNvPr id="2" name="Shape 3748"/>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8F95C33" id="Group 1" o:spid="_x0000_s1026" style="width:470.9pt;height:.25pt;mso-position-horizontal-relative:char;mso-position-vertical-relative:line" coordsize="5980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">
              <v:shape id="Shape 3748"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" path="m,l5980176,r,9144l,9144,,e" fillcolor="black" stroked="f" strokeweight="0">
                <v:stroke miterlimit="83231f" joinstyle="miter"/>
                <v:path arrowok="t" textboxrect="0,0,5980176,9144"/>
              </v:shape>
              <w10:anchorlock/>
            </v:group>
          </w:pict>
        </mc:Fallback>
      </mc:AlternateContent>
    </w:r>
  </w:p>
  <w:p w14:paraId="7814AE48" w14:textId="77777777" w:rsidR="00EE2ECA" w:rsidRDefault="00EE2ECA" w:rsidP="00EE2ECA">
    <w:pPr>
      <w:spacing w:after="44" w:line="259" w:lineRule="auto"/>
      <w:ind w:left="-5"/>
    </w:pPr>
    <w:r>
      <w:rPr>
        <w:rFonts w:ascii="Calibri" w:eastAsia="Calibri" w:hAnsi="Calibri" w:cs="Calibri"/>
        <w:sz w:val="18"/>
      </w:rPr>
      <w:t xml:space="preserve">University Writing Center | The University of Texas at Austin | uwc.utexas.edu | PCL 2.330 | 512.471.6222 </w:t>
    </w:r>
  </w:p>
  <w:p w14:paraId="4C6EE695" w14:textId="321F477F" w:rsidR="00EE2ECA" w:rsidRDefault="00EE2ECA" w:rsidP="00EE2ECA">
    <w:pPr>
      <w:spacing w:after="44" w:line="259" w:lineRule="auto"/>
      <w:ind w:left="-5"/>
    </w:pPr>
    <w:r>
      <w:rPr>
        <w:rFonts w:ascii="Calibri" w:eastAsia="Calibri" w:hAnsi="Calibri" w:cs="Calibri"/>
        <w:sz w:val="18"/>
      </w:rPr>
      <w:t xml:space="preserve">Created by </w:t>
    </w:r>
    <w:r w:rsidR="00EE0979">
      <w:rPr>
        <w:rFonts w:ascii="Calibri" w:eastAsia="Calibri" w:hAnsi="Calibri" w:cs="Calibri"/>
        <w:sz w:val="18"/>
      </w:rPr>
      <w:t xml:space="preserve">Teri Fickling, </w:t>
    </w:r>
    <w:r w:rsidR="00032843">
      <w:rPr>
        <w:rFonts w:ascii="Calibri" w:eastAsia="Calibri" w:hAnsi="Calibri" w:cs="Calibri"/>
        <w:sz w:val="18"/>
      </w:rPr>
      <w:t>April</w:t>
    </w:r>
    <w:r w:rsidR="00EE0979">
      <w:rPr>
        <w:rFonts w:ascii="Calibri" w:eastAsia="Calibri" w:hAnsi="Calibri" w:cs="Calibri"/>
        <w:sz w:val="18"/>
      </w:rPr>
      <w:t xml:space="preserve"> 2021</w:t>
    </w:r>
    <w:r>
      <w:rPr>
        <w:rFonts w:ascii="Calibri" w:eastAsia="Calibri" w:hAnsi="Calibri" w:cs="Calibri"/>
        <w:sz w:val="18"/>
      </w:rPr>
      <w:t xml:space="preserve"> | </w:t>
    </w:r>
  </w:p>
  <w:p w14:paraId="5590C7A8" w14:textId="77777777" w:rsidR="00EE2ECA" w:rsidRDefault="00EE2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5E219" w14:textId="77777777" w:rsidR="00624398" w:rsidRDefault="00624398" w:rsidP="00920FCC">
      <w:pPr>
        <w:spacing w:after="0" w:line="240" w:lineRule="auto"/>
      </w:pPr>
      <w:r>
        <w:separator/>
      </w:r>
    </w:p>
  </w:footnote>
  <w:footnote w:type="continuationSeparator" w:id="0">
    <w:p w14:paraId="1E72E91E" w14:textId="77777777" w:rsidR="00624398" w:rsidRDefault="00624398" w:rsidP="00920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054C4" w14:textId="63525D2C" w:rsidR="00032843" w:rsidRDefault="00032843" w:rsidP="00032843">
    <w:pPr>
      <w:pStyle w:val="Header"/>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DD73C" w14:textId="77777777" w:rsidR="00801FBB" w:rsidRDefault="00801FBB">
    <w:pPr>
      <w:pStyle w:val="Header"/>
    </w:pPr>
    <w:r>
      <w:rPr>
        <w:noProof/>
      </w:rPr>
      <w:drawing>
        <wp:inline distT="0" distB="0" distL="0" distR="0" wp14:anchorId="3744DF01" wp14:editId="2F353003">
          <wp:extent cx="5943600" cy="914400"/>
          <wp:effectExtent l="0" t="0" r="0" b="0"/>
          <wp:docPr id="3" name="Picture 3" descr="UT-Austin's University Writing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T-Austin's University Writing Cente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453E"/>
    <w:multiLevelType w:val="hybridMultilevel"/>
    <w:tmpl w:val="EB2EC85A"/>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 w15:restartNumberingAfterBreak="0">
    <w:nsid w:val="0D6804DF"/>
    <w:multiLevelType w:val="multilevel"/>
    <w:tmpl w:val="F8B84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C305B0"/>
    <w:multiLevelType w:val="hybridMultilevel"/>
    <w:tmpl w:val="2C74CDFA"/>
    <w:lvl w:ilvl="0" w:tplc="E79E21CC">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 w15:restartNumberingAfterBreak="0">
    <w:nsid w:val="46696B04"/>
    <w:multiLevelType w:val="hybridMultilevel"/>
    <w:tmpl w:val="A41C4FA8"/>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4" w15:restartNumberingAfterBreak="0">
    <w:nsid w:val="5588092E"/>
    <w:multiLevelType w:val="hybridMultilevel"/>
    <w:tmpl w:val="BD90AE02"/>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5" w15:restartNumberingAfterBreak="0">
    <w:nsid w:val="66B1598B"/>
    <w:multiLevelType w:val="hybridMultilevel"/>
    <w:tmpl w:val="F1584F1A"/>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6" w15:restartNumberingAfterBreak="0">
    <w:nsid w:val="6CB7089D"/>
    <w:multiLevelType w:val="hybridMultilevel"/>
    <w:tmpl w:val="2C74CDFA"/>
    <w:lvl w:ilvl="0" w:tplc="E79E21CC">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7" w15:restartNumberingAfterBreak="0">
    <w:nsid w:val="79FA462F"/>
    <w:multiLevelType w:val="hybridMultilevel"/>
    <w:tmpl w:val="90C8EE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C6A2EE3"/>
    <w:multiLevelType w:val="multilevel"/>
    <w:tmpl w:val="03C6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5866840">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2" w16cid:durableId="895508722">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3" w16cid:durableId="1596205766">
    <w:abstractNumId w:val="2"/>
  </w:num>
  <w:num w:numId="4" w16cid:durableId="1631128436">
    <w:abstractNumId w:val="3"/>
  </w:num>
  <w:num w:numId="5" w16cid:durableId="1231381475">
    <w:abstractNumId w:val="5"/>
  </w:num>
  <w:num w:numId="6" w16cid:durableId="1963460425">
    <w:abstractNumId w:val="0"/>
  </w:num>
  <w:num w:numId="7" w16cid:durableId="2025551313">
    <w:abstractNumId w:val="6"/>
  </w:num>
  <w:num w:numId="8" w16cid:durableId="1565262933">
    <w:abstractNumId w:val="7"/>
  </w:num>
  <w:num w:numId="9" w16cid:durableId="13862910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2D"/>
    <w:rsid w:val="00032843"/>
    <w:rsid w:val="00035BD8"/>
    <w:rsid w:val="00043E29"/>
    <w:rsid w:val="00084803"/>
    <w:rsid w:val="00143BDF"/>
    <w:rsid w:val="00177FA2"/>
    <w:rsid w:val="00267086"/>
    <w:rsid w:val="00324163"/>
    <w:rsid w:val="00330A0F"/>
    <w:rsid w:val="00396290"/>
    <w:rsid w:val="00447227"/>
    <w:rsid w:val="00482CC8"/>
    <w:rsid w:val="004C24C4"/>
    <w:rsid w:val="004E332D"/>
    <w:rsid w:val="00577544"/>
    <w:rsid w:val="005B150D"/>
    <w:rsid w:val="005B7874"/>
    <w:rsid w:val="00624398"/>
    <w:rsid w:val="0063764E"/>
    <w:rsid w:val="006B187D"/>
    <w:rsid w:val="006D45A5"/>
    <w:rsid w:val="00704980"/>
    <w:rsid w:val="00746B0A"/>
    <w:rsid w:val="00763707"/>
    <w:rsid w:val="0077791C"/>
    <w:rsid w:val="00801FBB"/>
    <w:rsid w:val="008817DC"/>
    <w:rsid w:val="00920FCC"/>
    <w:rsid w:val="00946581"/>
    <w:rsid w:val="00986219"/>
    <w:rsid w:val="009F0DBD"/>
    <w:rsid w:val="00A11E22"/>
    <w:rsid w:val="00AF59E3"/>
    <w:rsid w:val="00CC19B1"/>
    <w:rsid w:val="00CE7E54"/>
    <w:rsid w:val="00D05D1D"/>
    <w:rsid w:val="00D63D8A"/>
    <w:rsid w:val="00E80864"/>
    <w:rsid w:val="00ED6062"/>
    <w:rsid w:val="00EE0979"/>
    <w:rsid w:val="00EE2ECA"/>
    <w:rsid w:val="00F40A2D"/>
    <w:rsid w:val="00F77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3B9733"/>
  <w15:docId w15:val="{D69C6447-1583-6F40-BBB8-8C8C2FCE6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0" w:line="256" w:lineRule="auto"/>
      <w:ind w:left="10" w:hanging="10"/>
    </w:pPr>
    <w:rPr>
      <w:rFonts w:ascii="Garamond" w:eastAsia="Garamond" w:hAnsi="Garamond" w:cs="Garamond"/>
      <w:color w:val="000000"/>
      <w:sz w:val="22"/>
    </w:rPr>
  </w:style>
  <w:style w:type="paragraph" w:styleId="Heading1">
    <w:name w:val="heading 1"/>
    <w:next w:val="Normal"/>
    <w:link w:val="Heading1Char"/>
    <w:uiPriority w:val="9"/>
    <w:qFormat/>
    <w:pPr>
      <w:keepNext/>
      <w:keepLines/>
      <w:spacing w:line="259" w:lineRule="auto"/>
      <w:ind w:left="10" w:hanging="10"/>
      <w:outlineLvl w:val="0"/>
    </w:pPr>
    <w:rPr>
      <w:rFonts w:ascii="Garamond" w:eastAsia="Garamond" w:hAnsi="Garamond" w:cs="Garamond"/>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aramond" w:eastAsia="Garamond" w:hAnsi="Garamond" w:cs="Garamond"/>
      <w:b/>
      <w:color w:val="000000"/>
      <w:sz w:val="28"/>
    </w:rPr>
  </w:style>
  <w:style w:type="paragraph" w:styleId="Header">
    <w:name w:val="header"/>
    <w:basedOn w:val="Normal"/>
    <w:link w:val="HeaderChar"/>
    <w:uiPriority w:val="99"/>
    <w:unhideWhenUsed/>
    <w:rsid w:val="00920F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FCC"/>
    <w:rPr>
      <w:rFonts w:ascii="Garamond" w:eastAsia="Garamond" w:hAnsi="Garamond" w:cs="Garamond"/>
      <w:color w:val="000000"/>
      <w:sz w:val="22"/>
    </w:rPr>
  </w:style>
  <w:style w:type="paragraph" w:styleId="Footer">
    <w:name w:val="footer"/>
    <w:basedOn w:val="Normal"/>
    <w:link w:val="FooterChar"/>
    <w:uiPriority w:val="99"/>
    <w:unhideWhenUsed/>
    <w:rsid w:val="00920F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FCC"/>
    <w:rPr>
      <w:rFonts w:ascii="Garamond" w:eastAsia="Garamond" w:hAnsi="Garamond" w:cs="Garamond"/>
      <w:color w:val="000000"/>
      <w:sz w:val="22"/>
    </w:rPr>
  </w:style>
  <w:style w:type="paragraph" w:styleId="NormalWeb">
    <w:name w:val="Normal (Web)"/>
    <w:basedOn w:val="Normal"/>
    <w:uiPriority w:val="99"/>
    <w:semiHidden/>
    <w:unhideWhenUsed/>
    <w:rsid w:val="006D45A5"/>
    <w:rPr>
      <w:rFonts w:ascii="Times New Roman" w:hAnsi="Times New Roman" w:cs="Times New Roman"/>
      <w:sz w:val="24"/>
    </w:rPr>
  </w:style>
  <w:style w:type="paragraph" w:styleId="ListParagraph">
    <w:name w:val="List Paragraph"/>
    <w:basedOn w:val="Normal"/>
    <w:uiPriority w:val="34"/>
    <w:qFormat/>
    <w:rsid w:val="00E80864"/>
    <w:pPr>
      <w:ind w:left="720"/>
      <w:contextualSpacing/>
    </w:pPr>
  </w:style>
  <w:style w:type="character" w:styleId="Hyperlink">
    <w:name w:val="Hyperlink"/>
    <w:basedOn w:val="DefaultParagraphFont"/>
    <w:uiPriority w:val="99"/>
    <w:unhideWhenUsed/>
    <w:rsid w:val="00EE0979"/>
    <w:rPr>
      <w:color w:val="0563C1" w:themeColor="hyperlink"/>
      <w:u w:val="single"/>
    </w:rPr>
  </w:style>
  <w:style w:type="character" w:styleId="UnresolvedMention">
    <w:name w:val="Unresolved Mention"/>
    <w:basedOn w:val="DefaultParagraphFont"/>
    <w:uiPriority w:val="99"/>
    <w:semiHidden/>
    <w:unhideWhenUsed/>
    <w:rsid w:val="00EE0979"/>
    <w:rPr>
      <w:color w:val="605E5C"/>
      <w:shd w:val="clear" w:color="auto" w:fill="E1DFDD"/>
    </w:rPr>
  </w:style>
  <w:style w:type="character" w:styleId="FollowedHyperlink">
    <w:name w:val="FollowedHyperlink"/>
    <w:basedOn w:val="DefaultParagraphFont"/>
    <w:uiPriority w:val="99"/>
    <w:semiHidden/>
    <w:unhideWhenUsed/>
    <w:rsid w:val="00EE0979"/>
    <w:rPr>
      <w:color w:val="954F72" w:themeColor="followedHyperlink"/>
      <w:u w:val="single"/>
    </w:rPr>
  </w:style>
  <w:style w:type="character" w:styleId="CommentReference">
    <w:name w:val="annotation reference"/>
    <w:basedOn w:val="DefaultParagraphFont"/>
    <w:uiPriority w:val="99"/>
    <w:semiHidden/>
    <w:unhideWhenUsed/>
    <w:rsid w:val="00D05D1D"/>
    <w:rPr>
      <w:sz w:val="16"/>
      <w:szCs w:val="16"/>
    </w:rPr>
  </w:style>
  <w:style w:type="paragraph" w:styleId="CommentText">
    <w:name w:val="annotation text"/>
    <w:basedOn w:val="Normal"/>
    <w:link w:val="CommentTextChar"/>
    <w:uiPriority w:val="99"/>
    <w:semiHidden/>
    <w:unhideWhenUsed/>
    <w:rsid w:val="00D05D1D"/>
    <w:pPr>
      <w:spacing w:line="240" w:lineRule="auto"/>
    </w:pPr>
    <w:rPr>
      <w:sz w:val="20"/>
      <w:szCs w:val="20"/>
    </w:rPr>
  </w:style>
  <w:style w:type="character" w:customStyle="1" w:styleId="CommentTextChar">
    <w:name w:val="Comment Text Char"/>
    <w:basedOn w:val="DefaultParagraphFont"/>
    <w:link w:val="CommentText"/>
    <w:uiPriority w:val="99"/>
    <w:semiHidden/>
    <w:rsid w:val="00D05D1D"/>
    <w:rPr>
      <w:rFonts w:ascii="Garamond" w:eastAsia="Garamond" w:hAnsi="Garamond" w:cs="Garamond"/>
      <w:color w:val="000000"/>
      <w:sz w:val="20"/>
      <w:szCs w:val="20"/>
    </w:rPr>
  </w:style>
  <w:style w:type="paragraph" w:styleId="CommentSubject">
    <w:name w:val="annotation subject"/>
    <w:basedOn w:val="CommentText"/>
    <w:next w:val="CommentText"/>
    <w:link w:val="CommentSubjectChar"/>
    <w:uiPriority w:val="99"/>
    <w:semiHidden/>
    <w:unhideWhenUsed/>
    <w:rsid w:val="00D05D1D"/>
    <w:rPr>
      <w:b/>
      <w:bCs/>
    </w:rPr>
  </w:style>
  <w:style w:type="character" w:customStyle="1" w:styleId="CommentSubjectChar">
    <w:name w:val="Comment Subject Char"/>
    <w:basedOn w:val="CommentTextChar"/>
    <w:link w:val="CommentSubject"/>
    <w:uiPriority w:val="99"/>
    <w:semiHidden/>
    <w:rsid w:val="00D05D1D"/>
    <w:rPr>
      <w:rFonts w:ascii="Garamond" w:eastAsia="Garamond" w:hAnsi="Garamond" w:cs="Garamond"/>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1236">
      <w:bodyDiv w:val="1"/>
      <w:marLeft w:val="0"/>
      <w:marRight w:val="0"/>
      <w:marTop w:val="0"/>
      <w:marBottom w:val="0"/>
      <w:divBdr>
        <w:top w:val="none" w:sz="0" w:space="0" w:color="auto"/>
        <w:left w:val="none" w:sz="0" w:space="0" w:color="auto"/>
        <w:bottom w:val="none" w:sz="0" w:space="0" w:color="auto"/>
        <w:right w:val="none" w:sz="0" w:space="0" w:color="auto"/>
      </w:divBdr>
    </w:div>
    <w:div w:id="179468098">
      <w:bodyDiv w:val="1"/>
      <w:marLeft w:val="0"/>
      <w:marRight w:val="0"/>
      <w:marTop w:val="0"/>
      <w:marBottom w:val="0"/>
      <w:divBdr>
        <w:top w:val="none" w:sz="0" w:space="0" w:color="auto"/>
        <w:left w:val="none" w:sz="0" w:space="0" w:color="auto"/>
        <w:bottom w:val="none" w:sz="0" w:space="0" w:color="auto"/>
        <w:right w:val="none" w:sz="0" w:space="0" w:color="auto"/>
      </w:divBdr>
    </w:div>
    <w:div w:id="265889712">
      <w:bodyDiv w:val="1"/>
      <w:marLeft w:val="0"/>
      <w:marRight w:val="0"/>
      <w:marTop w:val="0"/>
      <w:marBottom w:val="0"/>
      <w:divBdr>
        <w:top w:val="none" w:sz="0" w:space="0" w:color="auto"/>
        <w:left w:val="none" w:sz="0" w:space="0" w:color="auto"/>
        <w:bottom w:val="none" w:sz="0" w:space="0" w:color="auto"/>
        <w:right w:val="none" w:sz="0" w:space="0" w:color="auto"/>
      </w:divBdr>
    </w:div>
    <w:div w:id="274286936">
      <w:bodyDiv w:val="1"/>
      <w:marLeft w:val="0"/>
      <w:marRight w:val="0"/>
      <w:marTop w:val="0"/>
      <w:marBottom w:val="0"/>
      <w:divBdr>
        <w:top w:val="none" w:sz="0" w:space="0" w:color="auto"/>
        <w:left w:val="none" w:sz="0" w:space="0" w:color="auto"/>
        <w:bottom w:val="none" w:sz="0" w:space="0" w:color="auto"/>
        <w:right w:val="none" w:sz="0" w:space="0" w:color="auto"/>
      </w:divBdr>
    </w:div>
    <w:div w:id="282811303">
      <w:bodyDiv w:val="1"/>
      <w:marLeft w:val="0"/>
      <w:marRight w:val="0"/>
      <w:marTop w:val="0"/>
      <w:marBottom w:val="0"/>
      <w:divBdr>
        <w:top w:val="none" w:sz="0" w:space="0" w:color="auto"/>
        <w:left w:val="none" w:sz="0" w:space="0" w:color="auto"/>
        <w:bottom w:val="none" w:sz="0" w:space="0" w:color="auto"/>
        <w:right w:val="none" w:sz="0" w:space="0" w:color="auto"/>
      </w:divBdr>
    </w:div>
    <w:div w:id="472790539">
      <w:bodyDiv w:val="1"/>
      <w:marLeft w:val="0"/>
      <w:marRight w:val="0"/>
      <w:marTop w:val="0"/>
      <w:marBottom w:val="0"/>
      <w:divBdr>
        <w:top w:val="none" w:sz="0" w:space="0" w:color="auto"/>
        <w:left w:val="none" w:sz="0" w:space="0" w:color="auto"/>
        <w:bottom w:val="none" w:sz="0" w:space="0" w:color="auto"/>
        <w:right w:val="none" w:sz="0" w:space="0" w:color="auto"/>
      </w:divBdr>
    </w:div>
    <w:div w:id="535436090">
      <w:bodyDiv w:val="1"/>
      <w:marLeft w:val="0"/>
      <w:marRight w:val="0"/>
      <w:marTop w:val="0"/>
      <w:marBottom w:val="0"/>
      <w:divBdr>
        <w:top w:val="none" w:sz="0" w:space="0" w:color="auto"/>
        <w:left w:val="none" w:sz="0" w:space="0" w:color="auto"/>
        <w:bottom w:val="none" w:sz="0" w:space="0" w:color="auto"/>
        <w:right w:val="none" w:sz="0" w:space="0" w:color="auto"/>
      </w:divBdr>
    </w:div>
    <w:div w:id="554196342">
      <w:bodyDiv w:val="1"/>
      <w:marLeft w:val="0"/>
      <w:marRight w:val="0"/>
      <w:marTop w:val="0"/>
      <w:marBottom w:val="0"/>
      <w:divBdr>
        <w:top w:val="none" w:sz="0" w:space="0" w:color="auto"/>
        <w:left w:val="none" w:sz="0" w:space="0" w:color="auto"/>
        <w:bottom w:val="none" w:sz="0" w:space="0" w:color="auto"/>
        <w:right w:val="none" w:sz="0" w:space="0" w:color="auto"/>
      </w:divBdr>
    </w:div>
    <w:div w:id="711811026">
      <w:bodyDiv w:val="1"/>
      <w:marLeft w:val="0"/>
      <w:marRight w:val="0"/>
      <w:marTop w:val="0"/>
      <w:marBottom w:val="0"/>
      <w:divBdr>
        <w:top w:val="none" w:sz="0" w:space="0" w:color="auto"/>
        <w:left w:val="none" w:sz="0" w:space="0" w:color="auto"/>
        <w:bottom w:val="none" w:sz="0" w:space="0" w:color="auto"/>
        <w:right w:val="none" w:sz="0" w:space="0" w:color="auto"/>
      </w:divBdr>
    </w:div>
    <w:div w:id="792090685">
      <w:bodyDiv w:val="1"/>
      <w:marLeft w:val="0"/>
      <w:marRight w:val="0"/>
      <w:marTop w:val="0"/>
      <w:marBottom w:val="0"/>
      <w:divBdr>
        <w:top w:val="none" w:sz="0" w:space="0" w:color="auto"/>
        <w:left w:val="none" w:sz="0" w:space="0" w:color="auto"/>
        <w:bottom w:val="none" w:sz="0" w:space="0" w:color="auto"/>
        <w:right w:val="none" w:sz="0" w:space="0" w:color="auto"/>
      </w:divBdr>
    </w:div>
    <w:div w:id="857500707">
      <w:bodyDiv w:val="1"/>
      <w:marLeft w:val="0"/>
      <w:marRight w:val="0"/>
      <w:marTop w:val="0"/>
      <w:marBottom w:val="0"/>
      <w:divBdr>
        <w:top w:val="none" w:sz="0" w:space="0" w:color="auto"/>
        <w:left w:val="none" w:sz="0" w:space="0" w:color="auto"/>
        <w:bottom w:val="none" w:sz="0" w:space="0" w:color="auto"/>
        <w:right w:val="none" w:sz="0" w:space="0" w:color="auto"/>
      </w:divBdr>
    </w:div>
    <w:div w:id="1005285226">
      <w:bodyDiv w:val="1"/>
      <w:marLeft w:val="0"/>
      <w:marRight w:val="0"/>
      <w:marTop w:val="0"/>
      <w:marBottom w:val="0"/>
      <w:divBdr>
        <w:top w:val="none" w:sz="0" w:space="0" w:color="auto"/>
        <w:left w:val="none" w:sz="0" w:space="0" w:color="auto"/>
        <w:bottom w:val="none" w:sz="0" w:space="0" w:color="auto"/>
        <w:right w:val="none" w:sz="0" w:space="0" w:color="auto"/>
      </w:divBdr>
    </w:div>
    <w:div w:id="1011033920">
      <w:bodyDiv w:val="1"/>
      <w:marLeft w:val="0"/>
      <w:marRight w:val="0"/>
      <w:marTop w:val="0"/>
      <w:marBottom w:val="0"/>
      <w:divBdr>
        <w:top w:val="none" w:sz="0" w:space="0" w:color="auto"/>
        <w:left w:val="none" w:sz="0" w:space="0" w:color="auto"/>
        <w:bottom w:val="none" w:sz="0" w:space="0" w:color="auto"/>
        <w:right w:val="none" w:sz="0" w:space="0" w:color="auto"/>
      </w:divBdr>
    </w:div>
    <w:div w:id="1082675261">
      <w:bodyDiv w:val="1"/>
      <w:marLeft w:val="0"/>
      <w:marRight w:val="0"/>
      <w:marTop w:val="0"/>
      <w:marBottom w:val="0"/>
      <w:divBdr>
        <w:top w:val="none" w:sz="0" w:space="0" w:color="auto"/>
        <w:left w:val="none" w:sz="0" w:space="0" w:color="auto"/>
        <w:bottom w:val="none" w:sz="0" w:space="0" w:color="auto"/>
        <w:right w:val="none" w:sz="0" w:space="0" w:color="auto"/>
      </w:divBdr>
    </w:div>
    <w:div w:id="1148861201">
      <w:bodyDiv w:val="1"/>
      <w:marLeft w:val="0"/>
      <w:marRight w:val="0"/>
      <w:marTop w:val="0"/>
      <w:marBottom w:val="0"/>
      <w:divBdr>
        <w:top w:val="none" w:sz="0" w:space="0" w:color="auto"/>
        <w:left w:val="none" w:sz="0" w:space="0" w:color="auto"/>
        <w:bottom w:val="none" w:sz="0" w:space="0" w:color="auto"/>
        <w:right w:val="none" w:sz="0" w:space="0" w:color="auto"/>
      </w:divBdr>
    </w:div>
    <w:div w:id="1238056787">
      <w:bodyDiv w:val="1"/>
      <w:marLeft w:val="0"/>
      <w:marRight w:val="0"/>
      <w:marTop w:val="0"/>
      <w:marBottom w:val="0"/>
      <w:divBdr>
        <w:top w:val="none" w:sz="0" w:space="0" w:color="auto"/>
        <w:left w:val="none" w:sz="0" w:space="0" w:color="auto"/>
        <w:bottom w:val="none" w:sz="0" w:space="0" w:color="auto"/>
        <w:right w:val="none" w:sz="0" w:space="0" w:color="auto"/>
      </w:divBdr>
    </w:div>
    <w:div w:id="1247960932">
      <w:bodyDiv w:val="1"/>
      <w:marLeft w:val="0"/>
      <w:marRight w:val="0"/>
      <w:marTop w:val="0"/>
      <w:marBottom w:val="0"/>
      <w:divBdr>
        <w:top w:val="none" w:sz="0" w:space="0" w:color="auto"/>
        <w:left w:val="none" w:sz="0" w:space="0" w:color="auto"/>
        <w:bottom w:val="none" w:sz="0" w:space="0" w:color="auto"/>
        <w:right w:val="none" w:sz="0" w:space="0" w:color="auto"/>
      </w:divBdr>
    </w:div>
    <w:div w:id="1394694478">
      <w:bodyDiv w:val="1"/>
      <w:marLeft w:val="0"/>
      <w:marRight w:val="0"/>
      <w:marTop w:val="0"/>
      <w:marBottom w:val="0"/>
      <w:divBdr>
        <w:top w:val="none" w:sz="0" w:space="0" w:color="auto"/>
        <w:left w:val="none" w:sz="0" w:space="0" w:color="auto"/>
        <w:bottom w:val="none" w:sz="0" w:space="0" w:color="auto"/>
        <w:right w:val="none" w:sz="0" w:space="0" w:color="auto"/>
      </w:divBdr>
    </w:div>
    <w:div w:id="1524516069">
      <w:bodyDiv w:val="1"/>
      <w:marLeft w:val="0"/>
      <w:marRight w:val="0"/>
      <w:marTop w:val="0"/>
      <w:marBottom w:val="0"/>
      <w:divBdr>
        <w:top w:val="none" w:sz="0" w:space="0" w:color="auto"/>
        <w:left w:val="none" w:sz="0" w:space="0" w:color="auto"/>
        <w:bottom w:val="none" w:sz="0" w:space="0" w:color="auto"/>
        <w:right w:val="none" w:sz="0" w:space="0" w:color="auto"/>
      </w:divBdr>
    </w:div>
    <w:div w:id="1587610114">
      <w:bodyDiv w:val="1"/>
      <w:marLeft w:val="0"/>
      <w:marRight w:val="0"/>
      <w:marTop w:val="0"/>
      <w:marBottom w:val="0"/>
      <w:divBdr>
        <w:top w:val="none" w:sz="0" w:space="0" w:color="auto"/>
        <w:left w:val="none" w:sz="0" w:space="0" w:color="auto"/>
        <w:bottom w:val="none" w:sz="0" w:space="0" w:color="auto"/>
        <w:right w:val="none" w:sz="0" w:space="0" w:color="auto"/>
      </w:divBdr>
    </w:div>
    <w:div w:id="1710301819">
      <w:bodyDiv w:val="1"/>
      <w:marLeft w:val="0"/>
      <w:marRight w:val="0"/>
      <w:marTop w:val="0"/>
      <w:marBottom w:val="0"/>
      <w:divBdr>
        <w:top w:val="none" w:sz="0" w:space="0" w:color="auto"/>
        <w:left w:val="none" w:sz="0" w:space="0" w:color="auto"/>
        <w:bottom w:val="none" w:sz="0" w:space="0" w:color="auto"/>
        <w:right w:val="none" w:sz="0" w:space="0" w:color="auto"/>
      </w:divBdr>
    </w:div>
    <w:div w:id="1712529551">
      <w:bodyDiv w:val="1"/>
      <w:marLeft w:val="0"/>
      <w:marRight w:val="0"/>
      <w:marTop w:val="0"/>
      <w:marBottom w:val="0"/>
      <w:divBdr>
        <w:top w:val="none" w:sz="0" w:space="0" w:color="auto"/>
        <w:left w:val="none" w:sz="0" w:space="0" w:color="auto"/>
        <w:bottom w:val="none" w:sz="0" w:space="0" w:color="auto"/>
        <w:right w:val="none" w:sz="0" w:space="0" w:color="auto"/>
      </w:divBdr>
    </w:div>
    <w:div w:id="1742675769">
      <w:bodyDiv w:val="1"/>
      <w:marLeft w:val="0"/>
      <w:marRight w:val="0"/>
      <w:marTop w:val="0"/>
      <w:marBottom w:val="0"/>
      <w:divBdr>
        <w:top w:val="none" w:sz="0" w:space="0" w:color="auto"/>
        <w:left w:val="none" w:sz="0" w:space="0" w:color="auto"/>
        <w:bottom w:val="none" w:sz="0" w:space="0" w:color="auto"/>
        <w:right w:val="none" w:sz="0" w:space="0" w:color="auto"/>
      </w:divBdr>
    </w:div>
    <w:div w:id="1848246436">
      <w:bodyDiv w:val="1"/>
      <w:marLeft w:val="0"/>
      <w:marRight w:val="0"/>
      <w:marTop w:val="0"/>
      <w:marBottom w:val="0"/>
      <w:divBdr>
        <w:top w:val="none" w:sz="0" w:space="0" w:color="auto"/>
        <w:left w:val="none" w:sz="0" w:space="0" w:color="auto"/>
        <w:bottom w:val="none" w:sz="0" w:space="0" w:color="auto"/>
        <w:right w:val="none" w:sz="0" w:space="0" w:color="auto"/>
      </w:divBdr>
    </w:div>
    <w:div w:id="1906911655">
      <w:bodyDiv w:val="1"/>
      <w:marLeft w:val="0"/>
      <w:marRight w:val="0"/>
      <w:marTop w:val="0"/>
      <w:marBottom w:val="0"/>
      <w:divBdr>
        <w:top w:val="none" w:sz="0" w:space="0" w:color="auto"/>
        <w:left w:val="none" w:sz="0" w:space="0" w:color="auto"/>
        <w:bottom w:val="none" w:sz="0" w:space="0" w:color="auto"/>
        <w:right w:val="none" w:sz="0" w:space="0" w:color="auto"/>
      </w:divBdr>
    </w:div>
    <w:div w:id="1989436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bs.org/video/connections-dr-vershawn-youn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youtube.com/watch?v=JtINpW1j-m4"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axisuwc.com/shelton-howson-121"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mobilityincontextspring16a.qwriting.qc.cuny.edu/write-tips/" TargetMode="External"/><Relationship Id="rId4" Type="http://schemas.openxmlformats.org/officeDocument/2006/relationships/webSettings" Target="webSettings.xml"/><Relationship Id="rId9" Type="http://schemas.openxmlformats.org/officeDocument/2006/relationships/hyperlink" Target="http://www.latimes.com/books/la-et-jc-decolonize-syllabus-20181008-story.html"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1310</Words>
  <Characters>6775</Characters>
  <Application>Microsoft Office Word</Application>
  <DocSecurity>0</DocSecurity>
  <Lines>120</Lines>
  <Paragraphs>29</Paragraphs>
  <ScaleCrop>false</ScaleCrop>
  <HeadingPairs>
    <vt:vector size="2" baseType="variant">
      <vt:variant>
        <vt:lpstr>Title</vt:lpstr>
      </vt:variant>
      <vt:variant>
        <vt:i4>1</vt:i4>
      </vt:variant>
    </vt:vector>
  </HeadingPairs>
  <TitlesOfParts>
    <vt:vector size="1" baseType="lpstr">
      <vt:lpstr>Microsoft Word - Sentence Structure.docx</vt:lpstr>
    </vt:vector>
  </TitlesOfParts>
  <Company/>
  <LinksUpToDate>false</LinksUpToDate>
  <CharactersWithSpaces>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Sentence Structure.docx</dc:title>
  <dc:subject/>
  <dc:creator>Gerald Tilma</dc:creator>
  <cp:keywords/>
  <cp:lastModifiedBy>Mia Banuelos</cp:lastModifiedBy>
  <cp:revision>3</cp:revision>
  <dcterms:created xsi:type="dcterms:W3CDTF">2021-05-13T16:03:00Z</dcterms:created>
  <dcterms:modified xsi:type="dcterms:W3CDTF">2026-04-02T17:50:00Z</dcterms:modified>
</cp:coreProperties>
</file>