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1705A" w14:textId="77777777" w:rsidR="00DA3A55" w:rsidRPr="00AB14E0" w:rsidRDefault="00AB14E0" w:rsidP="00AB14E0">
      <w:pPr>
        <w:pStyle w:val="Heading1"/>
        <w:rPr>
          <w:noProof/>
        </w:rPr>
      </w:pPr>
      <w:r>
        <w:rPr>
          <w:noProof/>
        </w:rPr>
        <w:t>Chicago Style (CMS): Formatting Your Paper</w:t>
      </w:r>
    </w:p>
    <w:p w14:paraId="766FD886" w14:textId="2ABDCCB6" w:rsidR="00AB14E0" w:rsidRDefault="00AB14E0" w:rsidP="00AB14E0">
      <w:r>
        <w:t>Unlike the other citation styles used at universit</w:t>
      </w:r>
      <w:r w:rsidR="00A651F2">
        <w:t>ies</w:t>
      </w:r>
      <w:r>
        <w:t xml:space="preserve"> (MLA and APA), the Chicago Style of citation requires that the student use either footnotes or endnotes.  Certain academic fields like history or some social science disciplines will require Chicago Style, beca</w:t>
      </w:r>
      <w:r w:rsidR="002C11A9">
        <w:t>use the sourc</w:t>
      </w:r>
      <w:r w:rsidR="00A651F2">
        <w:t xml:space="preserve">es </w:t>
      </w:r>
      <w:r w:rsidR="002C11A9">
        <w:t>use</w:t>
      </w:r>
      <w:r w:rsidR="00A651F2">
        <w:t>d</w:t>
      </w:r>
      <w:r w:rsidR="002C11A9">
        <w:t xml:space="preserve"> for an</w:t>
      </w:r>
      <w:r>
        <w:t xml:space="preserve"> argument in these disciplines </w:t>
      </w:r>
      <w:proofErr w:type="gramStart"/>
      <w:r>
        <w:t>are considered to be</w:t>
      </w:r>
      <w:proofErr w:type="gramEnd"/>
      <w:r>
        <w:t xml:space="preserve"> especially important.</w:t>
      </w:r>
      <w:r w:rsidR="003A2744">
        <w:t xml:space="preserve"> The typeface should be something readable like Times New </w:t>
      </w:r>
      <w:proofErr w:type="gramStart"/>
      <w:r w:rsidR="003A2744">
        <w:t>Roman</w:t>
      </w:r>
      <w:proofErr w:type="gramEnd"/>
      <w:r w:rsidR="003A2744">
        <w:t xml:space="preserve"> and the font size should be no less than 10pt. </w:t>
      </w:r>
    </w:p>
    <w:p w14:paraId="3BD296D9" w14:textId="1E880BED" w:rsidR="00AB14E0" w:rsidRDefault="00AB14E0" w:rsidP="00AB14E0">
      <w:r>
        <w:t>C</w:t>
      </w:r>
      <w:r w:rsidR="00BE1472">
        <w:t xml:space="preserve">MS </w:t>
      </w:r>
      <w:r>
        <w:t>requires that writers document their sources in 2 separate places.  The first place is in either the footnote or endnote.  The other place is in the bibliography, which is placed on its own sheet of paper at the end of a research paper.</w:t>
      </w:r>
    </w:p>
    <w:p w14:paraId="18F1DA93" w14:textId="4E5BFD91" w:rsidR="00AB14E0" w:rsidRDefault="00AB14E0" w:rsidP="00AB14E0">
      <w:r>
        <w:t xml:space="preserve">If you </w:t>
      </w:r>
      <w:proofErr w:type="gramStart"/>
      <w:r>
        <w:t>haven’t</w:t>
      </w:r>
      <w:proofErr w:type="gramEnd"/>
      <w:r>
        <w:t xml:space="preserve"> used footnotes before, composing them correctly can seem confusing.  Use this handout, which focuses on the overall format of a paper with footnotes or endnotes, along with a second handout </w:t>
      </w:r>
      <w:proofErr w:type="gramStart"/>
      <w:r>
        <w:t>we’ve</w:t>
      </w:r>
      <w:proofErr w:type="gramEnd"/>
      <w:r>
        <w:t xml:space="preserve"> created called </w:t>
      </w:r>
      <w:r>
        <w:rPr>
          <w:b/>
        </w:rPr>
        <w:t xml:space="preserve">Chicago Style: Formatting </w:t>
      </w:r>
      <w:r w:rsidR="006A57E2">
        <w:rPr>
          <w:b/>
        </w:rPr>
        <w:t>Footnotes &amp; Bibliography</w:t>
      </w:r>
      <w:r>
        <w:rPr>
          <w:b/>
        </w:rPr>
        <w:t>.</w:t>
      </w:r>
      <w:r>
        <w:t xml:space="preserve">  This second handout looks more closely at the order within a particular footnote and a bibliography citation.</w:t>
      </w:r>
    </w:p>
    <w:p w14:paraId="115B07C8" w14:textId="77777777" w:rsidR="00AB14E0" w:rsidRPr="00AB14E0" w:rsidRDefault="00AB14E0" w:rsidP="00AB14E0">
      <w:pPr>
        <w:pStyle w:val="Heading2"/>
      </w:pPr>
      <w:r>
        <w:t>Your word processor can help!</w:t>
      </w:r>
    </w:p>
    <w:p w14:paraId="6C4636FB" w14:textId="6B99203E" w:rsidR="00AB14E0" w:rsidRDefault="00AB14E0" w:rsidP="00AB14E0">
      <w:r>
        <w:t xml:space="preserve">When </w:t>
      </w:r>
      <w:proofErr w:type="gramStart"/>
      <w:r>
        <w:t>you’re</w:t>
      </w:r>
      <w:proofErr w:type="gramEnd"/>
      <w:r>
        <w:t xml:space="preserve"> writing your research paper and are ready to cite a source for a particular sentence, MS Word has a function that makes creating a footnote or endnote much easier.  With your cursor placed on the spot where you want the footnote number to appear, click </w:t>
      </w:r>
      <w:r w:rsidR="007A7207">
        <w:rPr>
          <w:b/>
        </w:rPr>
        <w:t>References</w:t>
      </w:r>
      <w:r>
        <w:t xml:space="preserve"> on the toolbar, then </w:t>
      </w:r>
      <w:r w:rsidR="007A7207">
        <w:t xml:space="preserve">look for the </w:t>
      </w:r>
      <w:r>
        <w:rPr>
          <w:b/>
        </w:rPr>
        <w:t>Footnote</w:t>
      </w:r>
      <w:r w:rsidR="007A7207">
        <w:rPr>
          <w:b/>
        </w:rPr>
        <w:t xml:space="preserve"> </w:t>
      </w:r>
      <w:r w:rsidR="007A7207">
        <w:t>section</w:t>
      </w:r>
      <w:r>
        <w:t>.  The program then allows you to choose to use either footnotes or endnotes (</w:t>
      </w:r>
      <w:proofErr w:type="gramStart"/>
      <w:r>
        <w:t>you’ll</w:t>
      </w:r>
      <w:proofErr w:type="gramEnd"/>
      <w:r>
        <w:t xml:space="preserve"> have to be consistent in your choice throughout the whole document!</w:t>
      </w:r>
      <w:proofErr w:type="gramStart"/>
      <w:r>
        <w:t>), and</w:t>
      </w:r>
      <w:proofErr w:type="gramEnd"/>
      <w:r>
        <w:t xml:space="preserve"> will insert the correct footnote number in the text.  It will even move your cursor automatically to the footnote or endnote itself, ready for you to fill in the citation information (see our other handout</w:t>
      </w:r>
      <w:r>
        <w:rPr>
          <w:i/>
        </w:rPr>
        <w:t>, Chicago Style: Formatting footnotes and bibliography citations</w:t>
      </w:r>
      <w:r>
        <w:t>, for help on that process).</w:t>
      </w:r>
    </w:p>
    <w:p w14:paraId="5CB82548" w14:textId="77777777" w:rsidR="00AB14E0" w:rsidRPr="00AB14E0" w:rsidRDefault="00AB14E0" w:rsidP="00AB14E0">
      <w:pPr>
        <w:pStyle w:val="Heading2"/>
      </w:pPr>
      <w:r>
        <w:t>Footnotes or Endnotes?</w:t>
      </w:r>
    </w:p>
    <w:p w14:paraId="1F7B1CCA" w14:textId="6AF228C0" w:rsidR="00AB14E0" w:rsidRDefault="00AB14E0" w:rsidP="00AB14E0">
      <w:pPr>
        <w:pStyle w:val="Header"/>
        <w:tabs>
          <w:tab w:val="clear" w:pos="4320"/>
          <w:tab w:val="clear" w:pos="8640"/>
        </w:tabs>
      </w:pPr>
      <w:r>
        <w:t>Which is better, footnotes or endnotes?  Endnotes appear all toget</w:t>
      </w:r>
      <w:r w:rsidR="00207514">
        <w:t>her at the end of the document, while footnotes will b</w:t>
      </w:r>
      <w:r w:rsidR="006070F8">
        <w:t>e at the bottom of</w:t>
      </w:r>
      <w:r w:rsidR="009E14E1">
        <w:t xml:space="preserve"> every</w:t>
      </w:r>
      <w:r w:rsidR="006070F8">
        <w:t xml:space="preserve"> </w:t>
      </w:r>
      <w:r w:rsidR="009E14E1">
        <w:t>page</w:t>
      </w:r>
      <w:r w:rsidR="006070F8">
        <w:t xml:space="preserve"> on which you use a source. </w:t>
      </w:r>
      <w:r w:rsidR="00207514">
        <w:t>While it can be easier on you as the writer to use endnotes, footnotes give readers the ability to immediately contextualize y</w:t>
      </w:r>
      <w:r w:rsidR="005648BC">
        <w:t>our source instead of</w:t>
      </w:r>
      <w:r w:rsidR="00207514">
        <w:t xml:space="preserve"> flipping to the endnotes. Writing the footnotes at the same time as the paper</w:t>
      </w:r>
      <w:r w:rsidR="006070F8">
        <w:t xml:space="preserve"> can also</w:t>
      </w:r>
      <w:r w:rsidR="00207514">
        <w:t xml:space="preserve"> help you keep track of why each quotation and source you are using is important</w:t>
      </w:r>
      <w:r w:rsidR="008C4B02">
        <w:t xml:space="preserve"> to your paper.</w:t>
      </w:r>
      <w:r w:rsidR="00207514">
        <w:t xml:space="preserve"> Generally</w:t>
      </w:r>
      <w:r w:rsidR="008C4B02">
        <w:t xml:space="preserve">, </w:t>
      </w:r>
      <w:proofErr w:type="gramStart"/>
      <w:r w:rsidR="008C4B02">
        <w:t>you’ll</w:t>
      </w:r>
      <w:proofErr w:type="gramEnd"/>
      <w:r w:rsidR="008C4B02">
        <w:t xml:space="preserve"> get to choose between the two</w:t>
      </w:r>
      <w:r w:rsidR="00207514">
        <w:t xml:space="preserve">, unless your instructor gives you specific instructions.  </w:t>
      </w:r>
    </w:p>
    <w:p w14:paraId="510C3EDC" w14:textId="7DFDB46E" w:rsidR="00AB14E0" w:rsidRPr="00AB14E0" w:rsidRDefault="00B3652A" w:rsidP="00AB14E0">
      <w:pPr>
        <w:pStyle w:val="Heading2"/>
      </w:pPr>
      <w:r>
        <w:t>Why use footnotes/endnotes?</w:t>
      </w:r>
    </w:p>
    <w:p w14:paraId="4C165950" w14:textId="22D2213E" w:rsidR="001D78E4" w:rsidRDefault="002C11A9" w:rsidP="00AB14E0">
      <w:r>
        <w:t>Footnotes</w:t>
      </w:r>
      <w:r w:rsidR="00B3652A">
        <w:t xml:space="preserve"> and endnotes</w:t>
      </w:r>
      <w:r>
        <w:t xml:space="preserve"> allow you to give context for a source without having to move away from your main argument. For example, in disciplines such as philosophy, you may want to </w:t>
      </w:r>
      <w:r w:rsidR="00452D48">
        <w:t xml:space="preserve">refer to a </w:t>
      </w:r>
      <w:r>
        <w:t>theory that is relevant to your argument but</w:t>
      </w:r>
      <w:r w:rsidR="005A2889">
        <w:t xml:space="preserve"> is</w:t>
      </w:r>
      <w:r>
        <w:t xml:space="preserve"> no</w:t>
      </w:r>
      <w:r w:rsidR="005A2889">
        <w:t xml:space="preserve">t the </w:t>
      </w:r>
      <w:proofErr w:type="gramStart"/>
      <w:r w:rsidR="005A2889">
        <w:t>main focus</w:t>
      </w:r>
      <w:proofErr w:type="gramEnd"/>
      <w:r w:rsidR="005A2889">
        <w:t xml:space="preserve"> of your paper</w:t>
      </w:r>
      <w:r w:rsidR="00BE1472">
        <w:t>. Y</w:t>
      </w:r>
      <w:r>
        <w:t xml:space="preserve">ou can </w:t>
      </w:r>
      <w:r w:rsidR="00452D48">
        <w:t xml:space="preserve">briefly </w:t>
      </w:r>
      <w:r>
        <w:t>mention the theory in the body paragraph and</w:t>
      </w:r>
      <w:r w:rsidR="005A2889">
        <w:t xml:space="preserve"> </w:t>
      </w:r>
      <w:r w:rsidR="00452D48">
        <w:t>explain it</w:t>
      </w:r>
      <w:r w:rsidR="005A2889">
        <w:t xml:space="preserve"> a footnote</w:t>
      </w:r>
      <w:r w:rsidR="00B3652A">
        <w:t>/endnote</w:t>
      </w:r>
      <w:r w:rsidR="00452D48">
        <w:t xml:space="preserve"> to</w:t>
      </w:r>
      <w:r w:rsidR="00BE1472">
        <w:t xml:space="preserve"> help keep</w:t>
      </w:r>
      <w:r w:rsidR="005A2889">
        <w:t xml:space="preserve"> your argument clear. </w:t>
      </w:r>
      <w:r w:rsidR="006A57E2">
        <w:t>Or, in a history paper, y</w:t>
      </w:r>
      <w:r>
        <w:t xml:space="preserve">ou can </w:t>
      </w:r>
      <w:r w:rsidR="006A57E2">
        <w:t xml:space="preserve">mention a historical event in your body paragraph and </w:t>
      </w:r>
      <w:r>
        <w:t xml:space="preserve">explain the important </w:t>
      </w:r>
      <w:r w:rsidR="005E31DA">
        <w:t>details</w:t>
      </w:r>
      <w:r>
        <w:t xml:space="preserve"> in the footnotes</w:t>
      </w:r>
      <w:r w:rsidR="00B3652A">
        <w:t>/endnotes</w:t>
      </w:r>
      <w:r w:rsidR="00207514">
        <w:t xml:space="preserve">. </w:t>
      </w:r>
    </w:p>
    <w:p w14:paraId="5DD450B7" w14:textId="19ACBAA3" w:rsidR="00AB14E0" w:rsidRDefault="00207514" w:rsidP="00AB14E0">
      <w:r>
        <w:t>Footnotes</w:t>
      </w:r>
      <w:r w:rsidR="00B3652A">
        <w:t>/endnotes</w:t>
      </w:r>
      <w:r>
        <w:t xml:space="preserve"> give </w:t>
      </w:r>
      <w:r w:rsidR="00AB14E0">
        <w:t>reader</w:t>
      </w:r>
      <w:r>
        <w:t>s</w:t>
      </w:r>
      <w:r w:rsidR="00AB14E0">
        <w:t xml:space="preserve"> the opt</w:t>
      </w:r>
      <w:r>
        <w:t>ion to read this material at their</w:t>
      </w:r>
      <w:r w:rsidR="00AB14E0">
        <w:t xml:space="preserve"> own</w:t>
      </w:r>
      <w:r>
        <w:t xml:space="preserve"> convenience, without forcing them</w:t>
      </w:r>
      <w:r w:rsidR="00AB14E0">
        <w:t xml:space="preserve"> off-track from the point </w:t>
      </w:r>
      <w:proofErr w:type="gramStart"/>
      <w:r w:rsidR="00AB14E0">
        <w:t>you’re</w:t>
      </w:r>
      <w:proofErr w:type="gramEnd"/>
      <w:r w:rsidR="00AB14E0">
        <w:t xml:space="preserve"> making in the main text.  </w:t>
      </w:r>
    </w:p>
    <w:p w14:paraId="352971AB" w14:textId="4E0C005C" w:rsidR="00AB14E0" w:rsidRDefault="005326A0" w:rsidP="00AB14E0">
      <w:pPr>
        <w:pStyle w:val="Header"/>
        <w:tabs>
          <w:tab w:val="clear" w:pos="4320"/>
          <w:tab w:val="clear" w:pos="8640"/>
        </w:tabs>
        <w:ind w:right="3690"/>
        <w:rPr>
          <w:sz w:val="20"/>
        </w:rPr>
      </w:pPr>
      <w:r>
        <w:rPr>
          <w:noProof/>
          <w:sz w:val="16"/>
        </w:rPr>
        <mc:AlternateContent>
          <mc:Choice Requires="wps">
            <w:drawing>
              <wp:anchor distT="0" distB="0" distL="114300" distR="114300" simplePos="0" relativeHeight="251662336" behindDoc="0" locked="0" layoutInCell="1" allowOverlap="1" wp14:anchorId="278E7BC5" wp14:editId="5DDEF93A">
                <wp:simplePos x="0" y="0"/>
                <wp:positionH relativeFrom="column">
                  <wp:posOffset>3594735</wp:posOffset>
                </wp:positionH>
                <wp:positionV relativeFrom="paragraph">
                  <wp:posOffset>3488690</wp:posOffset>
                </wp:positionV>
                <wp:extent cx="2514600" cy="228600"/>
                <wp:effectExtent l="635" t="0" r="0" b="381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723A18" w14:textId="77777777" w:rsidR="006A57E2" w:rsidRDefault="006A57E2" w:rsidP="00AB14E0">
                            <w:pPr>
                              <w:rPr>
                                <w:sz w:val="20"/>
                              </w:rPr>
                            </w:pPr>
                            <w:r>
                              <w:rPr>
                                <w:sz w:val="20"/>
                              </w:rPr>
                              <w:t>Here is a sample bibliography page:</w:t>
                            </w:r>
                          </w:p>
                        </w:txbxContent>
                      </wps:txbx>
                      <wps:bodyPr rot="0" vert="horz" wrap="square" lIns="18288"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8E7BC5" id="_x0000_t202" coordsize="21600,21600" o:spt="202" path="m,l,21600r21600,l21600,xe">
                <v:stroke joinstyle="miter"/>
                <v:path gradientshapeok="t" o:connecttype="rect"/>
              </v:shapetype>
              <v:shape id="Text Box 4" o:spid="_x0000_s1026" type="#_x0000_t202" style="position:absolute;margin-left:283.05pt;margin-top:274.7pt;width:19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" stroked="f">
                <v:textbox inset="1.44pt">
                  <w:txbxContent>
                    <w:p w14:paraId="49723A18" w14:textId="77777777" w:rsidR="006A57E2" w:rsidRDefault="006A57E2" w:rsidP="00AB14E0">
                      <w:pPr>
                        <w:rPr>
                          <w:sz w:val="20"/>
                        </w:rPr>
                      </w:pPr>
                      <w:r>
                        <w:rPr>
                          <w:sz w:val="20"/>
                        </w:rPr>
                        <w:t>Here is a sample bibliography page:</w:t>
                      </w:r>
                    </w:p>
                  </w:txbxContent>
                </v:textbox>
              </v:shape>
            </w:pict>
          </mc:Fallback>
        </mc:AlternateContent>
      </w:r>
      <w:r>
        <w:rPr>
          <w:noProof/>
          <w:sz w:val="16"/>
        </w:rPr>
        <mc:AlternateContent>
          <mc:Choice Requires="wps">
            <w:drawing>
              <wp:anchor distT="0" distB="0" distL="114300" distR="114300" simplePos="0" relativeHeight="251661312" behindDoc="1" locked="0" layoutInCell="1" allowOverlap="1" wp14:anchorId="202F0EA2" wp14:editId="60A12AD5">
                <wp:simplePos x="0" y="0"/>
                <wp:positionH relativeFrom="column">
                  <wp:posOffset>2794635</wp:posOffset>
                </wp:positionH>
                <wp:positionV relativeFrom="paragraph">
                  <wp:posOffset>3831590</wp:posOffset>
                </wp:positionV>
                <wp:extent cx="3429000" cy="4572000"/>
                <wp:effectExtent l="13335" t="8890" r="24765" b="2921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0"/>
                        </a:xfrm>
                        <a:prstGeom prst="rect">
                          <a:avLst/>
                        </a:prstGeom>
                        <a:solidFill>
                          <a:srgbClr val="FFFFFF"/>
                        </a:solidFill>
                        <a:ln w="38100">
                          <a:solidFill>
                            <a:srgbClr val="000000"/>
                          </a:solidFill>
                          <a:miter lim="800000"/>
                          <a:headEnd/>
                          <a:tailEnd/>
                        </a:ln>
                      </wps:spPr>
                      <wps:txbx>
                        <w:txbxContent>
                          <w:p w14:paraId="25CE5C07" w14:textId="77777777" w:rsidR="006A57E2" w:rsidRDefault="006A57E2" w:rsidP="00AB14E0">
                            <w:pPr>
                              <w:pStyle w:val="Title"/>
                              <w:ind w:left="1440" w:firstLine="0"/>
                              <w:jc w:val="left"/>
                            </w:pPr>
                            <w:r>
                              <w:t xml:space="preserve">    BIBLIOGRAPHY</w:t>
                            </w:r>
                          </w:p>
                          <w:p w14:paraId="78AD5141" w14:textId="77777777" w:rsidR="006A57E2" w:rsidRDefault="006A57E2" w:rsidP="00AB14E0">
                            <w:pPr>
                              <w:ind w:hanging="720"/>
                              <w:rPr>
                                <w:b/>
                                <w:sz w:val="28"/>
                              </w:rPr>
                            </w:pPr>
                          </w:p>
                          <w:p w14:paraId="2C132D37" w14:textId="77777777" w:rsidR="006A57E2" w:rsidRDefault="006A57E2" w:rsidP="00AB14E0">
                            <w:pPr>
                              <w:rPr>
                                <w:sz w:val="14"/>
                              </w:rPr>
                            </w:pPr>
                            <w:r>
                              <w:rPr>
                                <w:sz w:val="14"/>
                              </w:rPr>
                              <w:t xml:space="preserve">Cory, Donald Webster. </w:t>
                            </w:r>
                            <w:r>
                              <w:rPr>
                                <w:i/>
                                <w:sz w:val="14"/>
                              </w:rPr>
                              <w:t>The Homosexual in America: A Subjective Approach</w:t>
                            </w:r>
                            <w:r>
                              <w:rPr>
                                <w:sz w:val="14"/>
                              </w:rPr>
                              <w:t>. New York: Castle Books, 1960 (originally 1951).</w:t>
                            </w:r>
                          </w:p>
                          <w:p w14:paraId="76BA6188" w14:textId="77777777" w:rsidR="006A57E2" w:rsidRDefault="006A57E2" w:rsidP="00AB14E0">
                            <w:pPr>
                              <w:ind w:left="360" w:hanging="360"/>
                              <w:rPr>
                                <w:sz w:val="14"/>
                              </w:rPr>
                            </w:pPr>
                          </w:p>
                          <w:p w14:paraId="673C9457" w14:textId="77777777" w:rsidR="006A57E2" w:rsidRDefault="006A57E2" w:rsidP="00AB14E0">
                            <w:pPr>
                              <w:ind w:left="360" w:hanging="360"/>
                              <w:rPr>
                                <w:sz w:val="14"/>
                              </w:rPr>
                            </w:pPr>
                            <w:r>
                              <w:rPr>
                                <w:sz w:val="14"/>
                              </w:rPr>
                              <w:t xml:space="preserve">Foucault, Michel. </w:t>
                            </w:r>
                            <w:r>
                              <w:rPr>
                                <w:i/>
                                <w:sz w:val="14"/>
                              </w:rPr>
                              <w:t>The History of Sexuality: An Introduction, Vol. I.</w:t>
                            </w:r>
                            <w:r>
                              <w:rPr>
                                <w:sz w:val="14"/>
                              </w:rPr>
                              <w:t xml:space="preserve"> New York: Vintage Books, 1990 (originally 1976).</w:t>
                            </w:r>
                          </w:p>
                          <w:p w14:paraId="1A13CA37" w14:textId="77777777" w:rsidR="006A57E2" w:rsidRDefault="006A57E2" w:rsidP="00AB14E0">
                            <w:pPr>
                              <w:ind w:left="360" w:hanging="360"/>
                              <w:rPr>
                                <w:sz w:val="14"/>
                              </w:rPr>
                            </w:pPr>
                          </w:p>
                          <w:p w14:paraId="04415615" w14:textId="77777777" w:rsidR="006A57E2" w:rsidRDefault="006A57E2" w:rsidP="00AB14E0">
                            <w:pPr>
                              <w:ind w:left="360" w:hanging="360"/>
                              <w:rPr>
                                <w:sz w:val="14"/>
                              </w:rPr>
                            </w:pPr>
                            <w:r>
                              <w:rPr>
                                <w:sz w:val="14"/>
                              </w:rPr>
                              <w:t xml:space="preserve">Irvine, Janice. “Toward a ‘Value-Free’ Science of Sex: The Kinsey Reports” in </w:t>
                            </w:r>
                            <w:r>
                              <w:rPr>
                                <w:i/>
                                <w:sz w:val="14"/>
                              </w:rPr>
                              <w:t>Sexualities in History</w:t>
                            </w:r>
                            <w:r>
                              <w:rPr>
                                <w:sz w:val="14"/>
                              </w:rPr>
                              <w:t xml:space="preserve"> (ed. Kim Phillips and Barney Reay). New York: Routledge, 2002.</w:t>
                            </w:r>
                          </w:p>
                          <w:p w14:paraId="59901CA6" w14:textId="77777777" w:rsidR="006A57E2" w:rsidRDefault="006A57E2" w:rsidP="00AB14E0">
                            <w:pPr>
                              <w:ind w:left="360" w:hanging="360"/>
                              <w:rPr>
                                <w:sz w:val="14"/>
                              </w:rPr>
                            </w:pPr>
                          </w:p>
                          <w:p w14:paraId="08A7EEEA" w14:textId="77777777" w:rsidR="006A57E2" w:rsidRDefault="006A57E2" w:rsidP="00AB14E0">
                            <w:pPr>
                              <w:ind w:left="360" w:hanging="360"/>
                              <w:rPr>
                                <w:sz w:val="14"/>
                              </w:rPr>
                            </w:pPr>
                            <w:r>
                              <w:rPr>
                                <w:sz w:val="14"/>
                              </w:rPr>
                              <w:t xml:space="preserve">Kardiner, Abram. </w:t>
                            </w:r>
                            <w:r>
                              <w:rPr>
                                <w:i/>
                                <w:sz w:val="14"/>
                              </w:rPr>
                              <w:t>Sex and Morality</w:t>
                            </w:r>
                            <w:r>
                              <w:rPr>
                                <w:sz w:val="14"/>
                              </w:rPr>
                              <w:t>. Indianapolis: Bobbs-Merrill Co., 1954.</w:t>
                            </w:r>
                          </w:p>
                          <w:p w14:paraId="2D853BFC" w14:textId="77777777" w:rsidR="006A57E2" w:rsidRDefault="006A57E2" w:rsidP="00AB14E0">
                            <w:pPr>
                              <w:ind w:left="360" w:hanging="360"/>
                              <w:rPr>
                                <w:sz w:val="14"/>
                              </w:rPr>
                            </w:pPr>
                          </w:p>
                          <w:p w14:paraId="6B5AF621" w14:textId="77777777" w:rsidR="006A57E2" w:rsidRDefault="006A57E2" w:rsidP="00AB14E0">
                            <w:pPr>
                              <w:ind w:left="360" w:hanging="360"/>
                              <w:rPr>
                                <w:sz w:val="14"/>
                              </w:rPr>
                            </w:pPr>
                            <w:r>
                              <w:rPr>
                                <w:sz w:val="14"/>
                              </w:rPr>
                              <w:t xml:space="preserve">Kinsey, Alfred; Pomeroy, Wardell; Martin, Clyde. </w:t>
                            </w:r>
                            <w:r>
                              <w:rPr>
                                <w:i/>
                                <w:sz w:val="14"/>
                              </w:rPr>
                              <w:t>Sexual Behavior in the Human Male</w:t>
                            </w:r>
                            <w:r>
                              <w:rPr>
                                <w:sz w:val="14"/>
                              </w:rPr>
                              <w:t>. Philadelphia: W.B. Saunders Co., 1949 (originally 1948).</w:t>
                            </w:r>
                          </w:p>
                          <w:p w14:paraId="1BA14A0D" w14:textId="77777777" w:rsidR="006A57E2" w:rsidRDefault="006A57E2" w:rsidP="00AB14E0">
                            <w:pPr>
                              <w:ind w:left="360" w:hanging="360"/>
                              <w:rPr>
                                <w:sz w:val="14"/>
                              </w:rPr>
                            </w:pPr>
                          </w:p>
                          <w:p w14:paraId="15A28428" w14:textId="77777777" w:rsidR="006A57E2" w:rsidRDefault="006A57E2" w:rsidP="00AB14E0">
                            <w:pPr>
                              <w:ind w:left="360" w:hanging="360"/>
                              <w:rPr>
                                <w:sz w:val="14"/>
                              </w:rPr>
                            </w:pPr>
                            <w:r>
                              <w:rPr>
                                <w:sz w:val="14"/>
                              </w:rPr>
                              <w:t xml:space="preserve">----------. </w:t>
                            </w:r>
                            <w:r>
                              <w:rPr>
                                <w:i/>
                                <w:sz w:val="14"/>
                              </w:rPr>
                              <w:t>Sexual Behavior in the Human Female</w:t>
                            </w:r>
                            <w:r>
                              <w:rPr>
                                <w:sz w:val="14"/>
                              </w:rPr>
                              <w:t xml:space="preserve">. Philadelphia: W.B. Saunders Co., 1953. </w:t>
                            </w:r>
                          </w:p>
                          <w:p w14:paraId="16B4A530" w14:textId="77777777" w:rsidR="006A57E2" w:rsidRDefault="006A57E2" w:rsidP="00AB14E0">
                            <w:pPr>
                              <w:ind w:left="360" w:hanging="360"/>
                              <w:rPr>
                                <w:sz w:val="14"/>
                              </w:rPr>
                            </w:pPr>
                          </w:p>
                          <w:p w14:paraId="2B31CDD3" w14:textId="77777777" w:rsidR="006A57E2" w:rsidRDefault="006A57E2" w:rsidP="00AB14E0">
                            <w:pPr>
                              <w:ind w:left="360" w:hanging="360"/>
                              <w:rPr>
                                <w:sz w:val="14"/>
                              </w:rPr>
                            </w:pPr>
                            <w:r>
                              <w:rPr>
                                <w:sz w:val="14"/>
                              </w:rPr>
                              <w:t xml:space="preserve">May, Elaine Tyler. </w:t>
                            </w:r>
                            <w:r>
                              <w:rPr>
                                <w:i/>
                                <w:sz w:val="14"/>
                              </w:rPr>
                              <w:t>Homeward Bound : American Families in the Cold War Era</w:t>
                            </w:r>
                            <w:r>
                              <w:rPr>
                                <w:sz w:val="14"/>
                              </w:rPr>
                              <w:t>. New York: Basic Books, 1988.</w:t>
                            </w:r>
                          </w:p>
                          <w:p w14:paraId="30B1D1A6" w14:textId="77777777" w:rsidR="006A57E2" w:rsidRDefault="006A57E2" w:rsidP="00AB14E0">
                            <w:pPr>
                              <w:ind w:left="360" w:hanging="360"/>
                              <w:rPr>
                                <w:sz w:val="14"/>
                              </w:rPr>
                            </w:pPr>
                          </w:p>
                          <w:p w14:paraId="30C49769" w14:textId="77777777" w:rsidR="006A57E2" w:rsidRDefault="006A57E2" w:rsidP="00AB14E0">
                            <w:pPr>
                              <w:ind w:left="360" w:hanging="360"/>
                              <w:rPr>
                                <w:sz w:val="14"/>
                              </w:rPr>
                            </w:pPr>
                            <w:r>
                              <w:rPr>
                                <w:sz w:val="14"/>
                              </w:rPr>
                              <w:t xml:space="preserve"> “Must be Change our Sex Standards?” </w:t>
                            </w:r>
                            <w:r>
                              <w:rPr>
                                <w:i/>
                                <w:sz w:val="14"/>
                              </w:rPr>
                              <w:t>Reader’s Digest</w:t>
                            </w:r>
                            <w:r>
                              <w:rPr>
                                <w:sz w:val="14"/>
                              </w:rPr>
                              <w:t xml:space="preserve"> (June 1948): 1-6.</w:t>
                            </w:r>
                          </w:p>
                          <w:p w14:paraId="00F16347" w14:textId="77777777" w:rsidR="006A57E2" w:rsidRDefault="006A57E2" w:rsidP="00AB14E0">
                            <w:pPr>
                              <w:ind w:left="360" w:hanging="360"/>
                              <w:rPr>
                                <w:sz w:val="14"/>
                              </w:rPr>
                            </w:pPr>
                          </w:p>
                          <w:p w14:paraId="477A3CE3" w14:textId="77777777" w:rsidR="006A57E2" w:rsidRDefault="006A57E2" w:rsidP="00AB14E0">
                            <w:pPr>
                              <w:ind w:left="360" w:hanging="360"/>
                              <w:rPr>
                                <w:sz w:val="14"/>
                              </w:rPr>
                            </w:pPr>
                            <w:r>
                              <w:rPr>
                                <w:sz w:val="14"/>
                              </w:rPr>
                              <w:t xml:space="preserve">Pomeroy, Wardell. </w:t>
                            </w:r>
                            <w:r>
                              <w:rPr>
                                <w:i/>
                                <w:sz w:val="14"/>
                              </w:rPr>
                              <w:t>Dr. Kinsey and the Institute for Sex Research</w:t>
                            </w:r>
                            <w:r>
                              <w:rPr>
                                <w:sz w:val="14"/>
                              </w:rPr>
                              <w:t>. New Haven: Yale Press, 1982.</w:t>
                            </w:r>
                          </w:p>
                          <w:p w14:paraId="377E9CBE" w14:textId="77777777" w:rsidR="006A57E2" w:rsidRDefault="006A57E2" w:rsidP="00AB14E0">
                            <w:pPr>
                              <w:ind w:left="360" w:hanging="360"/>
                              <w:rPr>
                                <w:sz w:val="14"/>
                              </w:rPr>
                            </w:pPr>
                          </w:p>
                          <w:p w14:paraId="0F5006E2" w14:textId="77777777" w:rsidR="006A57E2" w:rsidRDefault="006A57E2" w:rsidP="00AB14E0">
                            <w:pPr>
                              <w:ind w:left="360" w:hanging="360"/>
                              <w:rPr>
                                <w:sz w:val="14"/>
                              </w:rPr>
                            </w:pPr>
                            <w:r>
                              <w:rPr>
                                <w:sz w:val="14"/>
                              </w:rPr>
                              <w:t xml:space="preserve">Trilling, Lionel. “The Kinsey Report” in </w:t>
                            </w:r>
                            <w:r>
                              <w:rPr>
                                <w:i/>
                                <w:sz w:val="14"/>
                              </w:rPr>
                              <w:t>The Liberal Imagination</w:t>
                            </w:r>
                            <w:r>
                              <w:rPr>
                                <w:sz w:val="14"/>
                              </w:rPr>
                              <w:t>. Garden City: Doubleday, 1950 (article originally published 1948).</w:t>
                            </w:r>
                          </w:p>
                          <w:p w14:paraId="0C24C81F" w14:textId="77777777" w:rsidR="006A57E2" w:rsidRDefault="006A57E2" w:rsidP="00AB14E0">
                            <w:pPr>
                              <w:ind w:left="360" w:hanging="360"/>
                              <w:rPr>
                                <w:sz w:val="14"/>
                              </w:rPr>
                            </w:pPr>
                          </w:p>
                          <w:p w14:paraId="7A1E13B1" w14:textId="77777777" w:rsidR="006A57E2" w:rsidRDefault="006A57E2" w:rsidP="00AB14E0">
                            <w:pPr>
                              <w:ind w:left="360" w:hanging="360"/>
                              <w:rPr>
                                <w:sz w:val="14"/>
                              </w:rPr>
                            </w:pPr>
                            <w:r>
                              <w:rPr>
                                <w:sz w:val="14"/>
                              </w:rPr>
                              <w:t xml:space="preserve">United States Congress, Senate, Committee on Expenditures in the Executive Departments, Subcommittee on Investigations. </w:t>
                            </w:r>
                            <w:r>
                              <w:rPr>
                                <w:i/>
                                <w:sz w:val="14"/>
                              </w:rPr>
                              <w:t>Employment of Homosexuals and Other Sex Perverts in Government</w:t>
                            </w:r>
                            <w:r>
                              <w:rPr>
                                <w:sz w:val="14"/>
                              </w:rPr>
                              <w:t>. (81</w:t>
                            </w:r>
                            <w:r>
                              <w:rPr>
                                <w:sz w:val="14"/>
                                <w:vertAlign w:val="superscript"/>
                              </w:rPr>
                              <w:t>st</w:t>
                            </w:r>
                            <w:r>
                              <w:rPr>
                                <w:sz w:val="14"/>
                              </w:rPr>
                              <w:t xml:space="preserve"> Congress, 2</w:t>
                            </w:r>
                            <w:r>
                              <w:rPr>
                                <w:sz w:val="14"/>
                                <w:vertAlign w:val="superscript"/>
                              </w:rPr>
                              <w:t>nd</w:t>
                            </w:r>
                            <w:r>
                              <w:rPr>
                                <w:sz w:val="14"/>
                              </w:rPr>
                              <w:t xml:space="preserve"> Session, Document No. 241, December 15, 1950). </w:t>
                            </w:r>
                          </w:p>
                          <w:p w14:paraId="6EE6639C" w14:textId="77777777" w:rsidR="006A57E2" w:rsidRDefault="006A57E2" w:rsidP="00AB14E0">
                            <w:pPr>
                              <w:ind w:left="360" w:hanging="360"/>
                              <w:rPr>
                                <w:sz w:val="14"/>
                              </w:rPr>
                            </w:pPr>
                          </w:p>
                          <w:p w14:paraId="178850AF" w14:textId="77777777" w:rsidR="006A57E2" w:rsidRDefault="006A57E2" w:rsidP="00AB14E0">
                            <w:pPr>
                              <w:ind w:left="360" w:hanging="360"/>
                              <w:rPr>
                                <w:sz w:val="14"/>
                              </w:rPr>
                            </w:pPr>
                          </w:p>
                          <w:p w14:paraId="638C0A89" w14:textId="77777777" w:rsidR="006A57E2" w:rsidRDefault="006A57E2" w:rsidP="00AB14E0">
                            <w:pPr>
                              <w:rPr>
                                <w:sz w:val="14"/>
                              </w:rPr>
                            </w:pPr>
                          </w:p>
                          <w:p w14:paraId="0E7D161F" w14:textId="77777777" w:rsidR="006A57E2" w:rsidRDefault="006A57E2" w:rsidP="00AB14E0">
                            <w:pPr>
                              <w:jc w:val="center"/>
                              <w:rPr>
                                <w:sz w:val="14"/>
                              </w:rPr>
                            </w:pPr>
                            <w:r>
                              <w:rPr>
                                <w:sz w:val="14"/>
                              </w:rPr>
                              <w:t>Page 21</w:t>
                            </w:r>
                          </w:p>
                          <w:p w14:paraId="6FC64966" w14:textId="77777777" w:rsidR="006A57E2" w:rsidRDefault="006A57E2" w:rsidP="00AB14E0">
                            <w:pPr>
                              <w:pStyle w:val="Title"/>
                              <w:ind w:left="1440" w:firstLine="0"/>
                              <w:jc w:val="left"/>
                              <w:rPr>
                                <w:sz w:val="14"/>
                              </w:rPr>
                            </w:pPr>
                          </w:p>
                          <w:p w14:paraId="24FAB95B" w14:textId="77777777" w:rsidR="006A57E2" w:rsidRDefault="006A57E2" w:rsidP="00AB14E0"/>
                        </w:txbxContent>
                      </wps:txbx>
                      <wps:bodyPr rot="0" vert="horz" wrap="square" lIns="274320" tIns="13716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F0EA2" id="Text Box 3" o:spid="_x0000_s1027" type="#_x0000_t202" style="position:absolute;margin-left:220.05pt;margin-top:301.7pt;width:270pt;height:5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" strokeweight="3pt">
                <v:textbox inset="21.6pt,10.8pt,21.6pt">
                  <w:txbxContent>
                    <w:p w14:paraId="25CE5C07" w14:textId="77777777" w:rsidR="006A57E2" w:rsidRDefault="006A57E2" w:rsidP="00AB14E0">
                      <w:pPr>
                        <w:pStyle w:val="Title"/>
                        <w:ind w:left="1440" w:firstLine="0"/>
                        <w:jc w:val="left"/>
                      </w:pPr>
                      <w:r>
                        <w:t xml:space="preserve">    BIBLIOGRAPHY</w:t>
                      </w:r>
                    </w:p>
                    <w:p w14:paraId="78AD5141" w14:textId="77777777" w:rsidR="006A57E2" w:rsidRDefault="006A57E2" w:rsidP="00AB14E0">
                      <w:pPr>
                        <w:ind w:hanging="720"/>
                        <w:rPr>
                          <w:b/>
                          <w:sz w:val="28"/>
                        </w:rPr>
                      </w:pPr>
                    </w:p>
                    <w:p w14:paraId="2C132D37" w14:textId="77777777" w:rsidR="006A57E2" w:rsidRDefault="006A57E2" w:rsidP="00AB14E0">
                      <w:pPr>
                        <w:rPr>
                          <w:sz w:val="14"/>
                        </w:rPr>
                      </w:pPr>
                      <w:r>
                        <w:rPr>
                          <w:sz w:val="14"/>
                        </w:rPr>
                        <w:t xml:space="preserve">Cory, Donald Webster. </w:t>
                      </w:r>
                      <w:r>
                        <w:rPr>
                          <w:i/>
                          <w:sz w:val="14"/>
                        </w:rPr>
                        <w:t>The Homosexual in America: A Subjective Approach</w:t>
                      </w:r>
                      <w:r>
                        <w:rPr>
                          <w:sz w:val="14"/>
                        </w:rPr>
                        <w:t>. New York: Castle Books, 1960 (originally 1951).</w:t>
                      </w:r>
                    </w:p>
                    <w:p w14:paraId="76BA6188" w14:textId="77777777" w:rsidR="006A57E2" w:rsidRDefault="006A57E2" w:rsidP="00AB14E0">
                      <w:pPr>
                        <w:ind w:left="360" w:hanging="360"/>
                        <w:rPr>
                          <w:sz w:val="14"/>
                        </w:rPr>
                      </w:pPr>
                    </w:p>
                    <w:p w14:paraId="673C9457" w14:textId="77777777" w:rsidR="006A57E2" w:rsidRDefault="006A57E2" w:rsidP="00AB14E0">
                      <w:pPr>
                        <w:ind w:left="360" w:hanging="360"/>
                        <w:rPr>
                          <w:sz w:val="14"/>
                        </w:rPr>
                      </w:pPr>
                      <w:r>
                        <w:rPr>
                          <w:sz w:val="14"/>
                        </w:rPr>
                        <w:t xml:space="preserve">Foucault, Michel. </w:t>
                      </w:r>
                      <w:r>
                        <w:rPr>
                          <w:i/>
                          <w:sz w:val="14"/>
                        </w:rPr>
                        <w:t>The History of Sexuality: An Introduction, Vol. I.</w:t>
                      </w:r>
                      <w:r>
                        <w:rPr>
                          <w:sz w:val="14"/>
                        </w:rPr>
                        <w:t xml:space="preserve"> New York: Vintage Books, 1990 (originally 1976).</w:t>
                      </w:r>
                    </w:p>
                    <w:p w14:paraId="1A13CA37" w14:textId="77777777" w:rsidR="006A57E2" w:rsidRDefault="006A57E2" w:rsidP="00AB14E0">
                      <w:pPr>
                        <w:ind w:left="360" w:hanging="360"/>
                        <w:rPr>
                          <w:sz w:val="14"/>
                        </w:rPr>
                      </w:pPr>
                    </w:p>
                    <w:p w14:paraId="04415615" w14:textId="77777777" w:rsidR="006A57E2" w:rsidRDefault="006A57E2" w:rsidP="00AB14E0">
                      <w:pPr>
                        <w:ind w:left="360" w:hanging="360"/>
                        <w:rPr>
                          <w:sz w:val="14"/>
                        </w:rPr>
                      </w:pPr>
                      <w:r>
                        <w:rPr>
                          <w:sz w:val="14"/>
                        </w:rPr>
                        <w:t xml:space="preserve">Irvine, Janice. “Toward a ‘Value-Free’ Science of Sex: The Kinsey Reports” in </w:t>
                      </w:r>
                      <w:r>
                        <w:rPr>
                          <w:i/>
                          <w:sz w:val="14"/>
                        </w:rPr>
                        <w:t>Sexualities in History</w:t>
                      </w:r>
                      <w:r>
                        <w:rPr>
                          <w:sz w:val="14"/>
                        </w:rPr>
                        <w:t xml:space="preserve"> (ed. Kim Phillips and Barney Reay). New York: Routledge, 2002.</w:t>
                      </w:r>
                    </w:p>
                    <w:p w14:paraId="59901CA6" w14:textId="77777777" w:rsidR="006A57E2" w:rsidRDefault="006A57E2" w:rsidP="00AB14E0">
                      <w:pPr>
                        <w:ind w:left="360" w:hanging="360"/>
                        <w:rPr>
                          <w:sz w:val="14"/>
                        </w:rPr>
                      </w:pPr>
                    </w:p>
                    <w:p w14:paraId="08A7EEEA" w14:textId="77777777" w:rsidR="006A57E2" w:rsidRDefault="006A57E2" w:rsidP="00AB14E0">
                      <w:pPr>
                        <w:ind w:left="360" w:hanging="360"/>
                        <w:rPr>
                          <w:sz w:val="14"/>
                        </w:rPr>
                      </w:pPr>
                      <w:r>
                        <w:rPr>
                          <w:sz w:val="14"/>
                        </w:rPr>
                        <w:t xml:space="preserve">Kardiner, Abram. </w:t>
                      </w:r>
                      <w:r>
                        <w:rPr>
                          <w:i/>
                          <w:sz w:val="14"/>
                        </w:rPr>
                        <w:t>Sex and Morality</w:t>
                      </w:r>
                      <w:r>
                        <w:rPr>
                          <w:sz w:val="14"/>
                        </w:rPr>
                        <w:t>. Indianapolis: Bobbs-Merrill Co., 1954.</w:t>
                      </w:r>
                    </w:p>
                    <w:p w14:paraId="2D853BFC" w14:textId="77777777" w:rsidR="006A57E2" w:rsidRDefault="006A57E2" w:rsidP="00AB14E0">
                      <w:pPr>
                        <w:ind w:left="360" w:hanging="360"/>
                        <w:rPr>
                          <w:sz w:val="14"/>
                        </w:rPr>
                      </w:pPr>
                    </w:p>
                    <w:p w14:paraId="6B5AF621" w14:textId="77777777" w:rsidR="006A57E2" w:rsidRDefault="006A57E2" w:rsidP="00AB14E0">
                      <w:pPr>
                        <w:ind w:left="360" w:hanging="360"/>
                        <w:rPr>
                          <w:sz w:val="14"/>
                        </w:rPr>
                      </w:pPr>
                      <w:r>
                        <w:rPr>
                          <w:sz w:val="14"/>
                        </w:rPr>
                        <w:t xml:space="preserve">Kinsey, Alfred; Pomeroy, Wardell; Martin, Clyde. </w:t>
                      </w:r>
                      <w:r>
                        <w:rPr>
                          <w:i/>
                          <w:sz w:val="14"/>
                        </w:rPr>
                        <w:t>Sexual Behavior in the Human Male</w:t>
                      </w:r>
                      <w:r>
                        <w:rPr>
                          <w:sz w:val="14"/>
                        </w:rPr>
                        <w:t>. Philadelphia: W.B. Saunders Co., 1949 (originally 1948).</w:t>
                      </w:r>
                    </w:p>
                    <w:p w14:paraId="1BA14A0D" w14:textId="77777777" w:rsidR="006A57E2" w:rsidRDefault="006A57E2" w:rsidP="00AB14E0">
                      <w:pPr>
                        <w:ind w:left="360" w:hanging="360"/>
                        <w:rPr>
                          <w:sz w:val="14"/>
                        </w:rPr>
                      </w:pPr>
                    </w:p>
                    <w:p w14:paraId="15A28428" w14:textId="77777777" w:rsidR="006A57E2" w:rsidRDefault="006A57E2" w:rsidP="00AB14E0">
                      <w:pPr>
                        <w:ind w:left="360" w:hanging="360"/>
                        <w:rPr>
                          <w:sz w:val="14"/>
                        </w:rPr>
                      </w:pPr>
                      <w:r>
                        <w:rPr>
                          <w:sz w:val="14"/>
                        </w:rPr>
                        <w:t xml:space="preserve">----------. </w:t>
                      </w:r>
                      <w:r>
                        <w:rPr>
                          <w:i/>
                          <w:sz w:val="14"/>
                        </w:rPr>
                        <w:t>Sexual Behavior in the Human Female</w:t>
                      </w:r>
                      <w:r>
                        <w:rPr>
                          <w:sz w:val="14"/>
                        </w:rPr>
                        <w:t xml:space="preserve">. Philadelphia: W.B. Saunders Co., 1953. </w:t>
                      </w:r>
                    </w:p>
                    <w:p w14:paraId="16B4A530" w14:textId="77777777" w:rsidR="006A57E2" w:rsidRDefault="006A57E2" w:rsidP="00AB14E0">
                      <w:pPr>
                        <w:ind w:left="360" w:hanging="360"/>
                        <w:rPr>
                          <w:sz w:val="14"/>
                        </w:rPr>
                      </w:pPr>
                    </w:p>
                    <w:p w14:paraId="2B31CDD3" w14:textId="77777777" w:rsidR="006A57E2" w:rsidRDefault="006A57E2" w:rsidP="00AB14E0">
                      <w:pPr>
                        <w:ind w:left="360" w:hanging="360"/>
                        <w:rPr>
                          <w:sz w:val="14"/>
                        </w:rPr>
                      </w:pPr>
                      <w:r>
                        <w:rPr>
                          <w:sz w:val="14"/>
                        </w:rPr>
                        <w:t xml:space="preserve">May, Elaine Tyler. </w:t>
                      </w:r>
                      <w:r>
                        <w:rPr>
                          <w:i/>
                          <w:sz w:val="14"/>
                        </w:rPr>
                        <w:t>Homeward Bound : American Families in the Cold War Era</w:t>
                      </w:r>
                      <w:r>
                        <w:rPr>
                          <w:sz w:val="14"/>
                        </w:rPr>
                        <w:t>. New York: Basic Books, 1988.</w:t>
                      </w:r>
                    </w:p>
                    <w:p w14:paraId="30B1D1A6" w14:textId="77777777" w:rsidR="006A57E2" w:rsidRDefault="006A57E2" w:rsidP="00AB14E0">
                      <w:pPr>
                        <w:ind w:left="360" w:hanging="360"/>
                        <w:rPr>
                          <w:sz w:val="14"/>
                        </w:rPr>
                      </w:pPr>
                    </w:p>
                    <w:p w14:paraId="30C49769" w14:textId="77777777" w:rsidR="006A57E2" w:rsidRDefault="006A57E2" w:rsidP="00AB14E0">
                      <w:pPr>
                        <w:ind w:left="360" w:hanging="360"/>
                        <w:rPr>
                          <w:sz w:val="14"/>
                        </w:rPr>
                      </w:pPr>
                      <w:r>
                        <w:rPr>
                          <w:sz w:val="14"/>
                        </w:rPr>
                        <w:t xml:space="preserve"> “Must be Change our Sex Standards?” </w:t>
                      </w:r>
                      <w:r>
                        <w:rPr>
                          <w:i/>
                          <w:sz w:val="14"/>
                        </w:rPr>
                        <w:t>Reader’s Digest</w:t>
                      </w:r>
                      <w:r>
                        <w:rPr>
                          <w:sz w:val="14"/>
                        </w:rPr>
                        <w:t xml:space="preserve"> (June 1948): 1-6.</w:t>
                      </w:r>
                    </w:p>
                    <w:p w14:paraId="00F16347" w14:textId="77777777" w:rsidR="006A57E2" w:rsidRDefault="006A57E2" w:rsidP="00AB14E0">
                      <w:pPr>
                        <w:ind w:left="360" w:hanging="360"/>
                        <w:rPr>
                          <w:sz w:val="14"/>
                        </w:rPr>
                      </w:pPr>
                    </w:p>
                    <w:p w14:paraId="477A3CE3" w14:textId="77777777" w:rsidR="006A57E2" w:rsidRDefault="006A57E2" w:rsidP="00AB14E0">
                      <w:pPr>
                        <w:ind w:left="360" w:hanging="360"/>
                        <w:rPr>
                          <w:sz w:val="14"/>
                        </w:rPr>
                      </w:pPr>
                      <w:r>
                        <w:rPr>
                          <w:sz w:val="14"/>
                        </w:rPr>
                        <w:t xml:space="preserve">Pomeroy, Wardell. </w:t>
                      </w:r>
                      <w:r>
                        <w:rPr>
                          <w:i/>
                          <w:sz w:val="14"/>
                        </w:rPr>
                        <w:t>Dr. Kinsey and the Institute for Sex Research</w:t>
                      </w:r>
                      <w:r>
                        <w:rPr>
                          <w:sz w:val="14"/>
                        </w:rPr>
                        <w:t>. New Haven: Yale Press, 1982.</w:t>
                      </w:r>
                    </w:p>
                    <w:p w14:paraId="377E9CBE" w14:textId="77777777" w:rsidR="006A57E2" w:rsidRDefault="006A57E2" w:rsidP="00AB14E0">
                      <w:pPr>
                        <w:ind w:left="360" w:hanging="360"/>
                        <w:rPr>
                          <w:sz w:val="14"/>
                        </w:rPr>
                      </w:pPr>
                    </w:p>
                    <w:p w14:paraId="0F5006E2" w14:textId="77777777" w:rsidR="006A57E2" w:rsidRDefault="006A57E2" w:rsidP="00AB14E0">
                      <w:pPr>
                        <w:ind w:left="360" w:hanging="360"/>
                        <w:rPr>
                          <w:sz w:val="14"/>
                        </w:rPr>
                      </w:pPr>
                      <w:r>
                        <w:rPr>
                          <w:sz w:val="14"/>
                        </w:rPr>
                        <w:t xml:space="preserve">Trilling, Lionel. “The Kinsey Report” in </w:t>
                      </w:r>
                      <w:r>
                        <w:rPr>
                          <w:i/>
                          <w:sz w:val="14"/>
                        </w:rPr>
                        <w:t>The Liberal Imagination</w:t>
                      </w:r>
                      <w:r>
                        <w:rPr>
                          <w:sz w:val="14"/>
                        </w:rPr>
                        <w:t>. Garden City: Doubleday, 1950 (article originally published 1948).</w:t>
                      </w:r>
                    </w:p>
                    <w:p w14:paraId="0C24C81F" w14:textId="77777777" w:rsidR="006A57E2" w:rsidRDefault="006A57E2" w:rsidP="00AB14E0">
                      <w:pPr>
                        <w:ind w:left="360" w:hanging="360"/>
                        <w:rPr>
                          <w:sz w:val="14"/>
                        </w:rPr>
                      </w:pPr>
                    </w:p>
                    <w:p w14:paraId="7A1E13B1" w14:textId="77777777" w:rsidR="006A57E2" w:rsidRDefault="006A57E2" w:rsidP="00AB14E0">
                      <w:pPr>
                        <w:ind w:left="360" w:hanging="360"/>
                        <w:rPr>
                          <w:sz w:val="14"/>
                        </w:rPr>
                      </w:pPr>
                      <w:r>
                        <w:rPr>
                          <w:sz w:val="14"/>
                        </w:rPr>
                        <w:t xml:space="preserve">United States Congress, Senate, Committee on Expenditures in the Executive Departments, Subcommittee on Investigations. </w:t>
                      </w:r>
                      <w:r>
                        <w:rPr>
                          <w:i/>
                          <w:sz w:val="14"/>
                        </w:rPr>
                        <w:t>Employment of Homosexuals and Other Sex Perverts in Government</w:t>
                      </w:r>
                      <w:r>
                        <w:rPr>
                          <w:sz w:val="14"/>
                        </w:rPr>
                        <w:t>. (81</w:t>
                      </w:r>
                      <w:r>
                        <w:rPr>
                          <w:sz w:val="14"/>
                          <w:vertAlign w:val="superscript"/>
                        </w:rPr>
                        <w:t>st</w:t>
                      </w:r>
                      <w:r>
                        <w:rPr>
                          <w:sz w:val="14"/>
                        </w:rPr>
                        <w:t xml:space="preserve"> Congress, 2</w:t>
                      </w:r>
                      <w:r>
                        <w:rPr>
                          <w:sz w:val="14"/>
                          <w:vertAlign w:val="superscript"/>
                        </w:rPr>
                        <w:t>nd</w:t>
                      </w:r>
                      <w:r>
                        <w:rPr>
                          <w:sz w:val="14"/>
                        </w:rPr>
                        <w:t xml:space="preserve"> Session, Document No. 241, December 15, 1950). </w:t>
                      </w:r>
                    </w:p>
                    <w:p w14:paraId="6EE6639C" w14:textId="77777777" w:rsidR="006A57E2" w:rsidRDefault="006A57E2" w:rsidP="00AB14E0">
                      <w:pPr>
                        <w:ind w:left="360" w:hanging="360"/>
                        <w:rPr>
                          <w:sz w:val="14"/>
                        </w:rPr>
                      </w:pPr>
                    </w:p>
                    <w:p w14:paraId="178850AF" w14:textId="77777777" w:rsidR="006A57E2" w:rsidRDefault="006A57E2" w:rsidP="00AB14E0">
                      <w:pPr>
                        <w:ind w:left="360" w:hanging="360"/>
                        <w:rPr>
                          <w:sz w:val="14"/>
                        </w:rPr>
                      </w:pPr>
                    </w:p>
                    <w:p w14:paraId="638C0A89" w14:textId="77777777" w:rsidR="006A57E2" w:rsidRDefault="006A57E2" w:rsidP="00AB14E0">
                      <w:pPr>
                        <w:rPr>
                          <w:sz w:val="14"/>
                        </w:rPr>
                      </w:pPr>
                    </w:p>
                    <w:p w14:paraId="0E7D161F" w14:textId="77777777" w:rsidR="006A57E2" w:rsidRDefault="006A57E2" w:rsidP="00AB14E0">
                      <w:pPr>
                        <w:jc w:val="center"/>
                        <w:rPr>
                          <w:sz w:val="14"/>
                        </w:rPr>
                      </w:pPr>
                      <w:r>
                        <w:rPr>
                          <w:sz w:val="14"/>
                        </w:rPr>
                        <w:t>Page 21</w:t>
                      </w:r>
                    </w:p>
                    <w:p w14:paraId="6FC64966" w14:textId="77777777" w:rsidR="006A57E2" w:rsidRDefault="006A57E2" w:rsidP="00AB14E0">
                      <w:pPr>
                        <w:pStyle w:val="Title"/>
                        <w:ind w:left="1440" w:firstLine="0"/>
                        <w:jc w:val="left"/>
                        <w:rPr>
                          <w:sz w:val="14"/>
                        </w:rPr>
                      </w:pPr>
                    </w:p>
                    <w:p w14:paraId="24FAB95B" w14:textId="77777777" w:rsidR="006A57E2" w:rsidRDefault="006A57E2" w:rsidP="00AB14E0"/>
                  </w:txbxContent>
                </v:textbox>
              </v:shape>
            </w:pict>
          </mc:Fallback>
        </mc:AlternateContent>
      </w:r>
      <w:r w:rsidR="00AB14E0">
        <w:rPr>
          <w:sz w:val="20"/>
        </w:rPr>
        <w:t xml:space="preserve"> </w:t>
      </w:r>
      <w:r w:rsidR="00AB14E0">
        <w:rPr>
          <w:sz w:val="20"/>
        </w:rPr>
        <w:br w:type="page"/>
      </w:r>
    </w:p>
    <w:p w14:paraId="11FA8A43" w14:textId="5EE6FA95" w:rsidR="00AB14E0" w:rsidRDefault="00AB14E0">
      <w:pPr>
        <w:spacing w:after="0" w:line="240" w:lineRule="auto"/>
        <w:rPr>
          <w:sz w:val="20"/>
        </w:rPr>
      </w:pPr>
    </w:p>
    <w:p w14:paraId="5396D759" w14:textId="7349A4B2" w:rsidR="00AB14E0" w:rsidRDefault="00BE1472" w:rsidP="00AB14E0">
      <w:pPr>
        <w:pStyle w:val="Header"/>
        <w:tabs>
          <w:tab w:val="clear" w:pos="4320"/>
          <w:tab w:val="clear" w:pos="8640"/>
        </w:tabs>
        <w:ind w:right="3690"/>
        <w:rPr>
          <w:sz w:val="20"/>
        </w:rPr>
      </w:pPr>
      <w:r>
        <w:rPr>
          <w:noProof/>
          <w:sz w:val="20"/>
        </w:rPr>
        <mc:AlternateContent>
          <mc:Choice Requires="wps">
            <w:drawing>
              <wp:anchor distT="0" distB="0" distL="114300" distR="114300" simplePos="0" relativeHeight="251670528" behindDoc="0" locked="0" layoutInCell="1" allowOverlap="1" wp14:anchorId="48511D11" wp14:editId="561F2E0E">
                <wp:simplePos x="0" y="0"/>
                <wp:positionH relativeFrom="column">
                  <wp:posOffset>-510540</wp:posOffset>
                </wp:positionH>
                <wp:positionV relativeFrom="paragraph">
                  <wp:posOffset>278765</wp:posOffset>
                </wp:positionV>
                <wp:extent cx="3429000" cy="457200"/>
                <wp:effectExtent l="635" t="2540" r="0" b="0"/>
                <wp:wrapTight wrapText="bothSides">
                  <wp:wrapPolygon edited="0">
                    <wp:start x="0" y="0"/>
                    <wp:lineTo x="21600" y="0"/>
                    <wp:lineTo x="21600" y="21600"/>
                    <wp:lineTo x="0" y="21600"/>
                    <wp:lineTo x="0" y="0"/>
                  </wp:wrapPolygon>
                </wp:wrapTight>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0787D134" w14:textId="77777777" w:rsidR="006A57E2" w:rsidRDefault="006A57E2">
                            <w:r>
                              <w:t>Here is a sample page of a paper, complete with footnotes: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11D11" id="Text Box 13" o:spid="_x0000_s1028" type="#_x0000_t202" style="position:absolute;margin-left:-40.2pt;margin-top:21.95pt;width:270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" filled="f" stroked="f">
                <v:textbox inset=",7.2pt,,7.2pt">
                  <w:txbxContent>
                    <w:p w14:paraId="0787D134" w14:textId="77777777" w:rsidR="006A57E2" w:rsidRDefault="006A57E2">
                      <w:r>
                        <w:t>Here is a sample page of a paper, complete with footnotes:</w:t>
                      </w:r>
                    </w:p>
                  </w:txbxContent>
                </v:textbox>
                <w10:wrap type="tight"/>
              </v:shape>
            </w:pict>
          </mc:Fallback>
        </mc:AlternateContent>
      </w:r>
    </w:p>
    <w:p w14:paraId="5CD05536" w14:textId="2E61A6D2" w:rsidR="00DA3A55" w:rsidRPr="008A003D" w:rsidRDefault="00DA3A55" w:rsidP="00DA3A55"/>
    <w:p w14:paraId="3F61D754" w14:textId="31A410CE" w:rsidR="00DA3A55" w:rsidRPr="004B0A17" w:rsidRDefault="00011200" w:rsidP="00DA3A55">
      <w:r>
        <w:rPr>
          <w:noProof/>
        </w:rPr>
        <mc:AlternateContent>
          <mc:Choice Requires="wps">
            <w:drawing>
              <wp:anchor distT="0" distB="0" distL="114300" distR="114300" simplePos="0" relativeHeight="251671552" behindDoc="0" locked="0" layoutInCell="1" allowOverlap="1" wp14:anchorId="436653E0" wp14:editId="483EDA7A">
                <wp:simplePos x="0" y="0"/>
                <wp:positionH relativeFrom="column">
                  <wp:posOffset>333375</wp:posOffset>
                </wp:positionH>
                <wp:positionV relativeFrom="paragraph">
                  <wp:posOffset>1167765</wp:posOffset>
                </wp:positionV>
                <wp:extent cx="2400300" cy="342900"/>
                <wp:effectExtent l="0" t="0" r="0" b="0"/>
                <wp:wrapTight wrapText="bothSides">
                  <wp:wrapPolygon edited="0">
                    <wp:start x="229" y="1600"/>
                    <wp:lineTo x="229" y="17600"/>
                    <wp:lineTo x="21029" y="17600"/>
                    <wp:lineTo x="21029" y="1600"/>
                    <wp:lineTo x="229" y="1600"/>
                  </wp:wrapPolygon>
                </wp:wrapTight>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3D4F843C" w14:textId="77777777" w:rsidR="006A57E2" w:rsidRDefault="006A57E2">
                            <w:r>
                              <w:t>Here is a sample bibliography page: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653E0" id="Text Box 14" o:spid="_x0000_s1029" type="#_x0000_t202" style="position:absolute;margin-left:26.25pt;margin-top:91.95pt;width:189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" filled="f" stroked="f">
                <v:textbox inset=",7.2pt,,7.2pt">
                  <w:txbxContent>
                    <w:p w14:paraId="3D4F843C" w14:textId="77777777" w:rsidR="006A57E2" w:rsidRDefault="006A57E2">
                      <w:r>
                        <w:t>Here is a sample bibliography page:</w:t>
                      </w:r>
                    </w:p>
                  </w:txbxContent>
                </v:textbox>
                <w10:wrap type="tight"/>
              </v:shape>
            </w:pict>
          </mc:Fallback>
        </mc:AlternateContent>
      </w:r>
      <w:r w:rsidR="006A57E2">
        <w:rPr>
          <w:noProof/>
        </w:rPr>
        <w:drawing>
          <wp:anchor distT="0" distB="0" distL="114300" distR="114300" simplePos="0" relativeHeight="251668480" behindDoc="0" locked="0" layoutInCell="1" allowOverlap="1" wp14:anchorId="47AC9AC1" wp14:editId="134111E1">
            <wp:simplePos x="0" y="0"/>
            <wp:positionH relativeFrom="page">
              <wp:posOffset>4051935</wp:posOffset>
            </wp:positionH>
            <wp:positionV relativeFrom="paragraph">
              <wp:posOffset>1624965</wp:posOffset>
            </wp:positionV>
            <wp:extent cx="3322955" cy="4800600"/>
            <wp:effectExtent l="127000" t="127000" r="131445" b="152400"/>
            <wp:wrapSquare wrapText="bothSides"/>
            <wp:docPr id="2" name="Picture 2" descr="Sample bibliography from the Chicago Manual of Style 16th edi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mple bibliography from the Chicago Manual of Style 16th edition.&#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2955" cy="4800600"/>
                    </a:xfrm>
                    <a:prstGeom prst="rect">
                      <a:avLst/>
                    </a:prstGeom>
                    <a:solidFill>
                      <a:srgbClr val="FFFFFF">
                        <a:shade val="85000"/>
                      </a:srgbClr>
                    </a:solidFill>
                    <a:ln w="38100" cap="sq" cmpd="sng">
                      <a:solidFill>
                        <a:srgbClr val="0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A57E2">
        <w:rPr>
          <w:noProof/>
        </w:rPr>
        <mc:AlternateContent>
          <mc:Choice Requires="wps">
            <w:drawing>
              <wp:anchor distT="0" distB="0" distL="114300" distR="114300" simplePos="0" relativeHeight="251672576" behindDoc="0" locked="0" layoutInCell="1" allowOverlap="1" wp14:anchorId="2A6D6FCA" wp14:editId="12AEC5A2">
                <wp:simplePos x="0" y="0"/>
                <wp:positionH relativeFrom="column">
                  <wp:posOffset>219075</wp:posOffset>
                </wp:positionH>
                <wp:positionV relativeFrom="paragraph">
                  <wp:posOffset>6539865</wp:posOffset>
                </wp:positionV>
                <wp:extent cx="2857500" cy="1257300"/>
                <wp:effectExtent l="0" t="0" r="0" b="0"/>
                <wp:wrapTight wrapText="bothSides">
                  <wp:wrapPolygon edited="0">
                    <wp:start x="192" y="436"/>
                    <wp:lineTo x="192" y="20509"/>
                    <wp:lineTo x="21120" y="20509"/>
                    <wp:lineTo x="21120" y="436"/>
                    <wp:lineTo x="192" y="436"/>
                  </wp:wrapPolygon>
                </wp:wrapTight>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257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546E7536" w14:textId="77777777" w:rsidR="006A57E2" w:rsidRDefault="006A57E2">
                            <w:r>
                              <w:t xml:space="preserve">These sample pages are taken directly from the </w:t>
                            </w:r>
                            <w:r>
                              <w:rPr>
                                <w:i/>
                              </w:rPr>
                              <w:t xml:space="preserve">Chicago Manual of Style, </w:t>
                            </w:r>
                            <w:r>
                              <w:t>16</w:t>
                            </w:r>
                            <w:r w:rsidRPr="00DA3A55">
                              <w:rPr>
                                <w:vertAlign w:val="superscript"/>
                              </w:rPr>
                              <w:t>th</w:t>
                            </w:r>
                            <w:r>
                              <w:t xml:space="preserve"> edition (2010).</w:t>
                            </w:r>
                          </w:p>
                          <w:p w14:paraId="2C936D1A" w14:textId="77777777" w:rsidR="006A57E2" w:rsidRDefault="006A57E2"/>
                          <w:p w14:paraId="2ECD3D63" w14:textId="77777777" w:rsidR="006A57E2" w:rsidRDefault="006A57E2">
                            <w:r>
                              <w:t xml:space="preserve">Sample page of a paper: Figure 14.1 </w:t>
                            </w:r>
                          </w:p>
                          <w:p w14:paraId="12B8C89F" w14:textId="77777777" w:rsidR="006A57E2" w:rsidRPr="00DA3A55" w:rsidRDefault="006A57E2">
                            <w:r>
                              <w:t>Sample bibliography page: Figure 14.8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D6FCA" id="Text Box 17" o:spid="_x0000_s1030" type="#_x0000_t202" style="position:absolute;margin-left:17.25pt;margin-top:514.95pt;width:225pt;height: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" filled="f" stroked="f">
                <v:textbox inset=",7.2pt,,7.2pt">
                  <w:txbxContent>
                    <w:p w14:paraId="546E7536" w14:textId="77777777" w:rsidR="006A57E2" w:rsidRDefault="006A57E2">
                      <w:r>
                        <w:t xml:space="preserve">These sample pages are taken directly from the </w:t>
                      </w:r>
                      <w:r>
                        <w:rPr>
                          <w:i/>
                        </w:rPr>
                        <w:t xml:space="preserve">Chicago Manual of Style, </w:t>
                      </w:r>
                      <w:r>
                        <w:t>16</w:t>
                      </w:r>
                      <w:r w:rsidRPr="00DA3A55">
                        <w:rPr>
                          <w:vertAlign w:val="superscript"/>
                        </w:rPr>
                        <w:t>th</w:t>
                      </w:r>
                      <w:r>
                        <w:t xml:space="preserve"> edition (2010).</w:t>
                      </w:r>
                    </w:p>
                    <w:p w14:paraId="2C936D1A" w14:textId="77777777" w:rsidR="006A57E2" w:rsidRDefault="006A57E2"/>
                    <w:p w14:paraId="2ECD3D63" w14:textId="77777777" w:rsidR="006A57E2" w:rsidRDefault="006A57E2">
                      <w:r>
                        <w:t xml:space="preserve">Sample page of a paper: Figure 14.1 </w:t>
                      </w:r>
                    </w:p>
                    <w:p w14:paraId="12B8C89F" w14:textId="77777777" w:rsidR="006A57E2" w:rsidRPr="00DA3A55" w:rsidRDefault="006A57E2">
                      <w:r>
                        <w:t>Sample bibliography page: Figure 14.8</w:t>
                      </w:r>
                    </w:p>
                  </w:txbxContent>
                </v:textbox>
                <w10:wrap type="tight"/>
              </v:shape>
            </w:pict>
          </mc:Fallback>
        </mc:AlternateContent>
      </w:r>
      <w:r w:rsidR="006A57E2">
        <w:rPr>
          <w:noProof/>
        </w:rPr>
        <w:drawing>
          <wp:anchor distT="0" distB="0" distL="114300" distR="114300" simplePos="0" relativeHeight="251669504" behindDoc="0" locked="0" layoutInCell="1" allowOverlap="1" wp14:anchorId="6AD4E233" wp14:editId="3F27EEEA">
            <wp:simplePos x="0" y="0"/>
            <wp:positionH relativeFrom="column">
              <wp:posOffset>-3438525</wp:posOffset>
            </wp:positionH>
            <wp:positionV relativeFrom="paragraph">
              <wp:posOffset>253365</wp:posOffset>
            </wp:positionV>
            <wp:extent cx="3429000" cy="5215890"/>
            <wp:effectExtent l="50800" t="50800" r="50800" b="41910"/>
            <wp:wrapThrough wrapText="bothSides">
              <wp:wrapPolygon edited="0">
                <wp:start x="-320" y="-210"/>
                <wp:lineTo x="-320" y="21668"/>
                <wp:lineTo x="21760" y="21668"/>
                <wp:lineTo x="21760" y="-210"/>
                <wp:lineTo x="-320" y="-210"/>
              </wp:wrapPolygon>
            </wp:wrapThrough>
            <wp:docPr id="4" name="Picture 4" descr="Sample page of footnotes from the Chicago Manual of Style 16th edi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ample page of footnotes from the Chicago Manual of Style 16th edition&#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5215890"/>
                    </a:xfrm>
                    <a:prstGeom prst="rect">
                      <a:avLst/>
                    </a:prstGeom>
                    <a:noFill/>
                    <a:ln w="38100" cmpd="sng">
                      <a:solidFill>
                        <a:schemeClr val="tx1"/>
                      </a:solidFill>
                    </a:ln>
                  </pic:spPr>
                </pic:pic>
              </a:graphicData>
            </a:graphic>
            <wp14:sizeRelH relativeFrom="page">
              <wp14:pctWidth>0</wp14:pctWidth>
            </wp14:sizeRelH>
            <wp14:sizeRelV relativeFrom="page">
              <wp14:pctHeight>0</wp14:pctHeight>
            </wp14:sizeRelV>
          </wp:anchor>
        </w:drawing>
      </w:r>
    </w:p>
    <w:sectPr w:rsidR="00DA3A55" w:rsidRPr="004B0A17" w:rsidSect="00DA3A55">
      <w:footerReference w:type="default" r:id="rId10"/>
      <w:headerReference w:type="first" r:id="rId11"/>
      <w:footerReference w:type="first" r:id="rId12"/>
      <w:type w:val="continuous"/>
      <w:pgSz w:w="12240" w:h="15840"/>
      <w:pgMar w:top="1080" w:right="1440" w:bottom="1080" w:left="1440" w:header="360" w:footer="8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1FC44" w14:textId="77777777" w:rsidR="006B5B2A" w:rsidRDefault="006B5B2A">
      <w:pPr>
        <w:spacing w:after="0" w:line="240" w:lineRule="auto"/>
      </w:pPr>
      <w:r>
        <w:separator/>
      </w:r>
    </w:p>
  </w:endnote>
  <w:endnote w:type="continuationSeparator" w:id="0">
    <w:p w14:paraId="6B3BBFA4" w14:textId="77777777" w:rsidR="006B5B2A" w:rsidRDefault="006B5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Garamond">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7EF08" w14:textId="77777777" w:rsidR="006A57E2" w:rsidRDefault="006A57E2">
    <w:pPr>
      <w:pStyle w:val="Footer"/>
      <w:rPr>
        <w:sz w:val="18"/>
      </w:rPr>
    </w:pPr>
  </w:p>
  <w:p w14:paraId="56A9B09D" w14:textId="44F4596B" w:rsidR="006A57E2" w:rsidRPr="000341C2" w:rsidRDefault="006A57E2" w:rsidP="00DA3A55">
    <w:pPr>
      <w:pStyle w:val="Footer"/>
      <w:pBdr>
        <w:top w:val="single" w:sz="2" w:space="4" w:color="auto"/>
      </w:pBdr>
      <w:spacing w:line="220" w:lineRule="atLeast"/>
      <w:rPr>
        <w:rFonts w:ascii="AGaramond" w:hAnsi="AGaramond"/>
        <w:sz w:val="18"/>
      </w:rPr>
    </w:pPr>
    <w:r w:rsidRPr="000341C2">
      <w:rPr>
        <w:rFonts w:ascii="AGaramond" w:hAnsi="AGaramond"/>
        <w:sz w:val="18"/>
      </w:rPr>
      <w:t>Un</w:t>
    </w:r>
    <w:r>
      <w:rPr>
        <w:rFonts w:ascii="AGaramond" w:hAnsi="AGaramond"/>
        <w:sz w:val="18"/>
      </w:rPr>
      <w:t>iversity</w:t>
    </w:r>
    <w:r w:rsidRPr="000341C2">
      <w:rPr>
        <w:rFonts w:ascii="AGaramond" w:hAnsi="AGaramond"/>
        <w:sz w:val="18"/>
      </w:rPr>
      <w:t xml:space="preserve"> Writing Center  |  The University of Texas at Austin  |  http://uwc.utexas.edu  |  </w:t>
    </w:r>
    <w:r>
      <w:rPr>
        <w:rFonts w:ascii="AGaramond" w:hAnsi="AGaramond"/>
        <w:sz w:val="18"/>
      </w:rPr>
      <w:t>PCL 2.330</w:t>
    </w:r>
    <w:r w:rsidRPr="000341C2">
      <w:rPr>
        <w:rFonts w:ascii="AGaramond" w:hAnsi="AGaramond"/>
        <w:sz w:val="18"/>
      </w:rPr>
      <w:t xml:space="preserve">  |  512.471.6222</w:t>
    </w:r>
  </w:p>
  <w:p w14:paraId="46E96568" w14:textId="5695B65B" w:rsidR="006A57E2" w:rsidRPr="000341C2" w:rsidRDefault="006A57E2" w:rsidP="00DA3A55">
    <w:pPr>
      <w:pStyle w:val="Footer"/>
      <w:spacing w:line="220" w:lineRule="atLeast"/>
      <w:rPr>
        <w:rFonts w:ascii="AGaramond" w:hAnsi="AGaramond"/>
        <w:sz w:val="18"/>
      </w:rPr>
    </w:pPr>
    <w:r>
      <w:rPr>
        <w:rFonts w:ascii="AGaramond" w:hAnsi="AGaramond"/>
        <w:sz w:val="18"/>
      </w:rPr>
      <w:t xml:space="preserve">Handout created by </w:t>
    </w:r>
    <w:r>
      <w:rPr>
        <w:sz w:val="18"/>
      </w:rPr>
      <w:t xml:space="preserve">Phil Tiemeyer, October 2003 </w:t>
    </w:r>
    <w:r w:rsidRPr="000341C2">
      <w:rPr>
        <w:rFonts w:ascii="AGaramond" w:hAnsi="AGaramond"/>
        <w:sz w:val="18"/>
      </w:rPr>
      <w:t xml:space="preserve">|  </w:t>
    </w:r>
    <w:r w:rsidR="00A651F2" w:rsidRPr="00A651F2">
      <w:rPr>
        <w:rFonts w:ascii="AGaramond" w:hAnsi="AGaramond"/>
        <w:sz w:val="18"/>
      </w:rPr>
      <w:t xml:space="preserve">Last revised by </w:t>
    </w:r>
    <w:r w:rsidR="00E17BC7">
      <w:rPr>
        <w:rFonts w:ascii="AGaramond" w:hAnsi="AGaramond"/>
        <w:sz w:val="18"/>
      </w:rPr>
      <w:t>Teri Fickling, June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83890" w14:textId="77777777" w:rsidR="00E17BC7" w:rsidRDefault="00E17BC7" w:rsidP="00E17BC7">
    <w:pPr>
      <w:pStyle w:val="Footer"/>
      <w:rPr>
        <w:sz w:val="18"/>
      </w:rPr>
    </w:pPr>
  </w:p>
  <w:p w14:paraId="1FAEC421" w14:textId="77777777" w:rsidR="00E17BC7" w:rsidRPr="000341C2" w:rsidRDefault="00E17BC7" w:rsidP="00E17BC7">
    <w:pPr>
      <w:pStyle w:val="Footer"/>
      <w:pBdr>
        <w:top w:val="single" w:sz="2" w:space="4" w:color="auto"/>
      </w:pBdr>
      <w:spacing w:line="220" w:lineRule="atLeast"/>
      <w:rPr>
        <w:rFonts w:ascii="AGaramond" w:hAnsi="AGaramond"/>
        <w:sz w:val="18"/>
      </w:rPr>
    </w:pPr>
    <w:r w:rsidRPr="000341C2">
      <w:rPr>
        <w:rFonts w:ascii="AGaramond" w:hAnsi="AGaramond"/>
        <w:sz w:val="18"/>
      </w:rPr>
      <w:t>Un</w:t>
    </w:r>
    <w:r>
      <w:rPr>
        <w:rFonts w:ascii="AGaramond" w:hAnsi="AGaramond"/>
        <w:sz w:val="18"/>
      </w:rPr>
      <w:t>iversity</w:t>
    </w:r>
    <w:r w:rsidRPr="000341C2">
      <w:rPr>
        <w:rFonts w:ascii="AGaramond" w:hAnsi="AGaramond"/>
        <w:sz w:val="18"/>
      </w:rPr>
      <w:t xml:space="preserve"> Writing Center  |  The University of Texas at Austin  |  http://uwc.utexas.edu  |  </w:t>
    </w:r>
    <w:r>
      <w:rPr>
        <w:rFonts w:ascii="AGaramond" w:hAnsi="AGaramond"/>
        <w:sz w:val="18"/>
      </w:rPr>
      <w:t>PCL 2.330</w:t>
    </w:r>
    <w:r w:rsidRPr="000341C2">
      <w:rPr>
        <w:rFonts w:ascii="AGaramond" w:hAnsi="AGaramond"/>
        <w:sz w:val="18"/>
      </w:rPr>
      <w:t xml:space="preserve">  |  512.471.6222</w:t>
    </w:r>
  </w:p>
  <w:p w14:paraId="0EA6FB56" w14:textId="77777777" w:rsidR="00E17BC7" w:rsidRPr="000341C2" w:rsidRDefault="00E17BC7" w:rsidP="00E17BC7">
    <w:pPr>
      <w:pStyle w:val="Footer"/>
      <w:spacing w:line="220" w:lineRule="atLeast"/>
      <w:rPr>
        <w:rFonts w:ascii="AGaramond" w:hAnsi="AGaramond"/>
        <w:sz w:val="18"/>
      </w:rPr>
    </w:pPr>
    <w:r>
      <w:rPr>
        <w:rFonts w:ascii="AGaramond" w:hAnsi="AGaramond"/>
        <w:sz w:val="18"/>
      </w:rPr>
      <w:t xml:space="preserve">Handout created by </w:t>
    </w:r>
    <w:r>
      <w:rPr>
        <w:sz w:val="18"/>
      </w:rPr>
      <w:t xml:space="preserve">Phil Tiemeyer, October 2003 </w:t>
    </w:r>
    <w:r w:rsidRPr="000341C2">
      <w:rPr>
        <w:rFonts w:ascii="AGaramond" w:hAnsi="AGaramond"/>
        <w:sz w:val="18"/>
      </w:rPr>
      <w:t xml:space="preserve">|  </w:t>
    </w:r>
    <w:r w:rsidRPr="00A651F2">
      <w:rPr>
        <w:rFonts w:ascii="AGaramond" w:hAnsi="AGaramond"/>
        <w:sz w:val="18"/>
      </w:rPr>
      <w:t xml:space="preserve">Last revised by </w:t>
    </w:r>
    <w:r>
      <w:rPr>
        <w:rFonts w:ascii="AGaramond" w:hAnsi="AGaramond"/>
        <w:sz w:val="18"/>
      </w:rPr>
      <w:t>Teri Fickling, June 2020</w:t>
    </w:r>
  </w:p>
  <w:p w14:paraId="0F907698" w14:textId="77777777" w:rsidR="00E17BC7" w:rsidRDefault="00E17B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B86A4" w14:textId="77777777" w:rsidR="006B5B2A" w:rsidRDefault="006B5B2A">
      <w:pPr>
        <w:spacing w:after="0" w:line="240" w:lineRule="auto"/>
      </w:pPr>
      <w:r>
        <w:separator/>
      </w:r>
    </w:p>
  </w:footnote>
  <w:footnote w:type="continuationSeparator" w:id="0">
    <w:p w14:paraId="5474D404" w14:textId="77777777" w:rsidR="006B5B2A" w:rsidRDefault="006B5B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7C2CB" w14:textId="13F66A04" w:rsidR="006A57E2" w:rsidRDefault="006A57E2">
    <w:pPr>
      <w:pStyle w:val="Header"/>
    </w:pPr>
    <w:r>
      <w:rPr>
        <w:noProof/>
      </w:rPr>
      <w:drawing>
        <wp:inline distT="0" distB="0" distL="0" distR="0" wp14:anchorId="3AD4BDE2" wp14:editId="6CC6102D">
          <wp:extent cx="5943600" cy="914400"/>
          <wp:effectExtent l="0" t="0" r="0" b="0"/>
          <wp:docPr id="1" name="Picture 1" descr="UT-Austin's University Writing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T-Austin's University Writing Cente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914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C505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27635E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B84E46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31E8E4A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BCAD2E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60661E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C5A3D7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F4FAC0A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C010B9E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7916CE0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EE84AAE"/>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1FA0701"/>
    <w:multiLevelType w:val="hybridMultilevel"/>
    <w:tmpl w:val="D35CF11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5E0D15"/>
    <w:multiLevelType w:val="multilevel"/>
    <w:tmpl w:val="06064D22"/>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233011A"/>
    <w:multiLevelType w:val="multilevel"/>
    <w:tmpl w:val="06064D22"/>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B7A2A14"/>
    <w:multiLevelType w:val="hybridMultilevel"/>
    <w:tmpl w:val="E0BC1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F256F3"/>
    <w:multiLevelType w:val="hybridMultilevel"/>
    <w:tmpl w:val="06064D22"/>
    <w:lvl w:ilvl="0" w:tplc="E08CE126">
      <w:start w:val="1"/>
      <w:numFmt w:val="decimal"/>
      <w:pStyle w:val="ListNumber"/>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2692005">
    <w:abstractNumId w:val="10"/>
  </w:num>
  <w:num w:numId="2" w16cid:durableId="1849564706">
    <w:abstractNumId w:val="8"/>
  </w:num>
  <w:num w:numId="3" w16cid:durableId="997418290">
    <w:abstractNumId w:val="4"/>
  </w:num>
  <w:num w:numId="4" w16cid:durableId="619146484">
    <w:abstractNumId w:val="3"/>
  </w:num>
  <w:num w:numId="5" w16cid:durableId="2058553219">
    <w:abstractNumId w:val="2"/>
  </w:num>
  <w:num w:numId="6" w16cid:durableId="934945222">
    <w:abstractNumId w:val="1"/>
  </w:num>
  <w:num w:numId="7" w16cid:durableId="1084303211">
    <w:abstractNumId w:val="9"/>
  </w:num>
  <w:num w:numId="8" w16cid:durableId="178197552">
    <w:abstractNumId w:val="7"/>
  </w:num>
  <w:num w:numId="9" w16cid:durableId="263807022">
    <w:abstractNumId w:val="6"/>
  </w:num>
  <w:num w:numId="10" w16cid:durableId="202447242">
    <w:abstractNumId w:val="5"/>
  </w:num>
  <w:num w:numId="11" w16cid:durableId="911693999">
    <w:abstractNumId w:val="0"/>
  </w:num>
  <w:num w:numId="12" w16cid:durableId="975991890">
    <w:abstractNumId w:val="9"/>
    <w:lvlOverride w:ilvl="0">
      <w:startOverride w:val="1"/>
    </w:lvlOverride>
  </w:num>
  <w:num w:numId="13" w16cid:durableId="2115510823">
    <w:abstractNumId w:val="15"/>
  </w:num>
  <w:num w:numId="14" w16cid:durableId="896551218">
    <w:abstractNumId w:val="13"/>
  </w:num>
  <w:num w:numId="15" w16cid:durableId="1876576194">
    <w:abstractNumId w:val="14"/>
  </w:num>
  <w:num w:numId="16" w16cid:durableId="2034380271">
    <w:abstractNumId w:val="12"/>
  </w:num>
  <w:num w:numId="17" w16cid:durableId="5242485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4E0"/>
    <w:rsid w:val="00011200"/>
    <w:rsid w:val="000D0A10"/>
    <w:rsid w:val="00133A2F"/>
    <w:rsid w:val="001D78E4"/>
    <w:rsid w:val="00207514"/>
    <w:rsid w:val="002119C5"/>
    <w:rsid w:val="0027638A"/>
    <w:rsid w:val="002C11A9"/>
    <w:rsid w:val="00384816"/>
    <w:rsid w:val="003A2744"/>
    <w:rsid w:val="00452D48"/>
    <w:rsid w:val="00470E65"/>
    <w:rsid w:val="005326A0"/>
    <w:rsid w:val="005648BC"/>
    <w:rsid w:val="005A2889"/>
    <w:rsid w:val="005C5793"/>
    <w:rsid w:val="005E31DA"/>
    <w:rsid w:val="006070F8"/>
    <w:rsid w:val="00650D0A"/>
    <w:rsid w:val="006A57E2"/>
    <w:rsid w:val="006B5B2A"/>
    <w:rsid w:val="007A7207"/>
    <w:rsid w:val="007F39DF"/>
    <w:rsid w:val="008960A9"/>
    <w:rsid w:val="008A3322"/>
    <w:rsid w:val="008C4B02"/>
    <w:rsid w:val="008E276F"/>
    <w:rsid w:val="008E4B3C"/>
    <w:rsid w:val="009E14E1"/>
    <w:rsid w:val="00A651F2"/>
    <w:rsid w:val="00AB14E0"/>
    <w:rsid w:val="00B3652A"/>
    <w:rsid w:val="00BE1472"/>
    <w:rsid w:val="00D07D3A"/>
    <w:rsid w:val="00D40513"/>
    <w:rsid w:val="00DA3A55"/>
    <w:rsid w:val="00E17BC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8B7301"/>
  <w15:docId w15:val="{8A46DD55-42EF-4CD5-AD87-4F4779BAA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heading 6" w:semiHidden="1" w:unhideWhenUsed="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680A"/>
    <w:pPr>
      <w:spacing w:after="60" w:line="260" w:lineRule="atLeast"/>
    </w:pPr>
    <w:rPr>
      <w:rFonts w:ascii="Garamond" w:hAnsi="Garamond"/>
      <w:sz w:val="22"/>
    </w:rPr>
  </w:style>
  <w:style w:type="paragraph" w:styleId="Heading1">
    <w:name w:val="heading 1"/>
    <w:basedOn w:val="Normal"/>
    <w:next w:val="Normal"/>
    <w:link w:val="Heading1Char"/>
    <w:uiPriority w:val="9"/>
    <w:qFormat/>
    <w:rsid w:val="006D680A"/>
    <w:pPr>
      <w:keepNext/>
      <w:spacing w:before="80" w:after="160"/>
      <w:jc w:val="right"/>
      <w:outlineLvl w:val="0"/>
    </w:pPr>
    <w:rPr>
      <w:rFonts w:eastAsia="Times New Roman"/>
      <w:bCs/>
      <w:color w:val="747474"/>
      <w:sz w:val="40"/>
      <w:szCs w:val="32"/>
    </w:rPr>
  </w:style>
  <w:style w:type="paragraph" w:styleId="Heading2">
    <w:name w:val="heading 2"/>
    <w:basedOn w:val="Normal"/>
    <w:next w:val="Normal"/>
    <w:link w:val="Heading2Char"/>
    <w:uiPriority w:val="9"/>
    <w:unhideWhenUsed/>
    <w:qFormat/>
    <w:rsid w:val="008A003D"/>
    <w:pPr>
      <w:keepNext/>
      <w:spacing w:before="240"/>
      <w:outlineLvl w:val="1"/>
    </w:pPr>
    <w:rPr>
      <w:rFonts w:eastAsia="Times New Roman"/>
      <w:b/>
      <w:bCs/>
      <w:iCs/>
      <w:sz w:val="28"/>
      <w:szCs w:val="28"/>
    </w:rPr>
  </w:style>
  <w:style w:type="paragraph" w:styleId="Heading3">
    <w:name w:val="heading 3"/>
    <w:basedOn w:val="Normal"/>
    <w:next w:val="Normal"/>
    <w:link w:val="Heading3Char"/>
    <w:rsid w:val="008A003D"/>
    <w:pPr>
      <w:keepNext/>
      <w:spacing w:before="240"/>
      <w:outlineLvl w:val="2"/>
    </w:pPr>
    <w:rPr>
      <w:rFonts w:eastAsiaTheme="majorEastAsia" w:cstheme="majorBidi"/>
      <w:bCs/>
      <w: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E6760"/>
  </w:style>
  <w:style w:type="paragraph" w:styleId="Header">
    <w:name w:val="header"/>
    <w:basedOn w:val="Normal"/>
    <w:rsid w:val="008E6760"/>
    <w:pPr>
      <w:tabs>
        <w:tab w:val="center" w:pos="4320"/>
        <w:tab w:val="right" w:pos="8640"/>
      </w:tabs>
    </w:pPr>
  </w:style>
  <w:style w:type="paragraph" w:styleId="Footer">
    <w:name w:val="footer"/>
    <w:basedOn w:val="Normal"/>
    <w:rsid w:val="008E6760"/>
    <w:pPr>
      <w:tabs>
        <w:tab w:val="center" w:pos="4320"/>
        <w:tab w:val="right" w:pos="8640"/>
      </w:tabs>
    </w:pPr>
  </w:style>
  <w:style w:type="character" w:customStyle="1" w:styleId="Heading1Char">
    <w:name w:val="Heading 1 Char"/>
    <w:basedOn w:val="DefaultParagraphFont"/>
    <w:link w:val="Heading1"/>
    <w:uiPriority w:val="9"/>
    <w:rsid w:val="006D680A"/>
    <w:rPr>
      <w:rFonts w:ascii="Garamond" w:eastAsia="Times New Roman" w:hAnsi="Garamond" w:cs="Times New Roman"/>
      <w:bCs/>
      <w:color w:val="747474"/>
      <w:sz w:val="40"/>
      <w:szCs w:val="32"/>
    </w:rPr>
  </w:style>
  <w:style w:type="character" w:customStyle="1" w:styleId="Heading2Char">
    <w:name w:val="Heading 2 Char"/>
    <w:basedOn w:val="DefaultParagraphFont"/>
    <w:link w:val="Heading2"/>
    <w:uiPriority w:val="9"/>
    <w:rsid w:val="008A003D"/>
    <w:rPr>
      <w:rFonts w:ascii="Garamond" w:eastAsia="Times New Roman" w:hAnsi="Garamond"/>
      <w:b/>
      <w:bCs/>
      <w:iCs/>
      <w:sz w:val="28"/>
      <w:szCs w:val="28"/>
    </w:rPr>
  </w:style>
  <w:style w:type="paragraph" w:styleId="ListNumber">
    <w:name w:val="List Number"/>
    <w:basedOn w:val="Normal"/>
    <w:uiPriority w:val="99"/>
    <w:unhideWhenUsed/>
    <w:rsid w:val="006D680A"/>
    <w:pPr>
      <w:numPr>
        <w:numId w:val="13"/>
      </w:numPr>
      <w:spacing w:after="80"/>
    </w:pPr>
  </w:style>
  <w:style w:type="character" w:customStyle="1" w:styleId="BodyTextChar">
    <w:name w:val="Body Text Char"/>
    <w:basedOn w:val="DefaultParagraphFont"/>
    <w:link w:val="BodyText"/>
    <w:rsid w:val="006D680A"/>
    <w:rPr>
      <w:sz w:val="22"/>
    </w:rPr>
  </w:style>
  <w:style w:type="character" w:customStyle="1" w:styleId="Heading3Char">
    <w:name w:val="Heading 3 Char"/>
    <w:basedOn w:val="DefaultParagraphFont"/>
    <w:link w:val="Heading3"/>
    <w:rsid w:val="008A003D"/>
    <w:rPr>
      <w:rFonts w:ascii="Garamond" w:eastAsiaTheme="majorEastAsia" w:hAnsi="Garamond" w:cstheme="majorBidi"/>
      <w:bCs/>
      <w:i/>
      <w:sz w:val="24"/>
      <w:szCs w:val="26"/>
    </w:rPr>
  </w:style>
  <w:style w:type="paragraph" w:styleId="ListBullet">
    <w:name w:val="List Bullet"/>
    <w:basedOn w:val="Normal"/>
    <w:rsid w:val="008A003D"/>
    <w:pPr>
      <w:numPr>
        <w:numId w:val="1"/>
      </w:numPr>
    </w:pPr>
  </w:style>
  <w:style w:type="paragraph" w:styleId="FootnoteText">
    <w:name w:val="footnote text"/>
    <w:basedOn w:val="Normal"/>
    <w:link w:val="FootnoteTextChar"/>
    <w:rsid w:val="00AB14E0"/>
    <w:pPr>
      <w:spacing w:after="0" w:line="240" w:lineRule="auto"/>
    </w:pPr>
    <w:rPr>
      <w:rFonts w:ascii="Times" w:hAnsi="Times"/>
      <w:sz w:val="24"/>
    </w:rPr>
  </w:style>
  <w:style w:type="character" w:customStyle="1" w:styleId="FootnoteTextChar">
    <w:name w:val="Footnote Text Char"/>
    <w:basedOn w:val="DefaultParagraphFont"/>
    <w:link w:val="FootnoteText"/>
    <w:rsid w:val="00AB14E0"/>
    <w:rPr>
      <w:sz w:val="24"/>
    </w:rPr>
  </w:style>
  <w:style w:type="character" w:styleId="FootnoteReference">
    <w:name w:val="footnote reference"/>
    <w:basedOn w:val="DefaultParagraphFont"/>
    <w:rsid w:val="00AB14E0"/>
    <w:rPr>
      <w:vertAlign w:val="superscript"/>
    </w:rPr>
  </w:style>
  <w:style w:type="paragraph" w:styleId="BodyTextIndent">
    <w:name w:val="Body Text Indent"/>
    <w:basedOn w:val="Normal"/>
    <w:link w:val="BodyTextIndentChar"/>
    <w:rsid w:val="00AB14E0"/>
    <w:pPr>
      <w:spacing w:after="0" w:line="500" w:lineRule="exact"/>
      <w:ind w:firstLine="720"/>
    </w:pPr>
    <w:rPr>
      <w:rFonts w:ascii="Times" w:hAnsi="Times"/>
      <w:sz w:val="24"/>
    </w:rPr>
  </w:style>
  <w:style w:type="character" w:customStyle="1" w:styleId="BodyTextIndentChar">
    <w:name w:val="Body Text Indent Char"/>
    <w:basedOn w:val="DefaultParagraphFont"/>
    <w:link w:val="BodyTextIndent"/>
    <w:rsid w:val="00AB14E0"/>
    <w:rPr>
      <w:sz w:val="24"/>
    </w:rPr>
  </w:style>
  <w:style w:type="paragraph" w:styleId="Title">
    <w:name w:val="Title"/>
    <w:basedOn w:val="Normal"/>
    <w:link w:val="TitleChar"/>
    <w:qFormat/>
    <w:rsid w:val="00AB14E0"/>
    <w:pPr>
      <w:spacing w:after="0" w:line="500" w:lineRule="exact"/>
      <w:ind w:firstLine="720"/>
      <w:jc w:val="center"/>
    </w:pPr>
    <w:rPr>
      <w:rFonts w:ascii="Times New Roman" w:eastAsia="Times New Roman" w:hAnsi="Times New Roman"/>
      <w:b/>
      <w:sz w:val="16"/>
    </w:rPr>
  </w:style>
  <w:style w:type="character" w:customStyle="1" w:styleId="TitleChar">
    <w:name w:val="Title Char"/>
    <w:basedOn w:val="DefaultParagraphFont"/>
    <w:link w:val="Title"/>
    <w:rsid w:val="00AB14E0"/>
    <w:rPr>
      <w:rFonts w:ascii="Times New Roman" w:eastAsia="Times New Roman" w:hAnsi="Times New Roman"/>
      <w:b/>
      <w:sz w:val="16"/>
    </w:rPr>
  </w:style>
  <w:style w:type="paragraph" w:styleId="BalloonText">
    <w:name w:val="Balloon Text"/>
    <w:basedOn w:val="Normal"/>
    <w:link w:val="BalloonTextChar"/>
    <w:rsid w:val="00DA3A5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DA3A55"/>
    <w:rPr>
      <w:rFonts w:ascii="Lucida Grande" w:hAnsi="Lucida Grande" w:cs="Lucida Grande"/>
      <w:sz w:val="18"/>
      <w:szCs w:val="18"/>
    </w:rPr>
  </w:style>
  <w:style w:type="character" w:styleId="CommentReference">
    <w:name w:val="annotation reference"/>
    <w:basedOn w:val="DefaultParagraphFont"/>
    <w:semiHidden/>
    <w:unhideWhenUsed/>
    <w:rsid w:val="007F39DF"/>
    <w:rPr>
      <w:sz w:val="16"/>
      <w:szCs w:val="16"/>
    </w:rPr>
  </w:style>
  <w:style w:type="paragraph" w:styleId="CommentText">
    <w:name w:val="annotation text"/>
    <w:basedOn w:val="Normal"/>
    <w:link w:val="CommentTextChar"/>
    <w:semiHidden/>
    <w:unhideWhenUsed/>
    <w:rsid w:val="007F39DF"/>
    <w:pPr>
      <w:spacing w:line="240" w:lineRule="auto"/>
    </w:pPr>
    <w:rPr>
      <w:sz w:val="20"/>
    </w:rPr>
  </w:style>
  <w:style w:type="character" w:customStyle="1" w:styleId="CommentTextChar">
    <w:name w:val="Comment Text Char"/>
    <w:basedOn w:val="DefaultParagraphFont"/>
    <w:link w:val="CommentText"/>
    <w:semiHidden/>
    <w:rsid w:val="007F39DF"/>
    <w:rPr>
      <w:rFonts w:ascii="Garamond" w:hAnsi="Garamond"/>
    </w:rPr>
  </w:style>
  <w:style w:type="paragraph" w:styleId="CommentSubject">
    <w:name w:val="annotation subject"/>
    <w:basedOn w:val="CommentText"/>
    <w:next w:val="CommentText"/>
    <w:link w:val="CommentSubjectChar"/>
    <w:semiHidden/>
    <w:unhideWhenUsed/>
    <w:rsid w:val="007F39DF"/>
    <w:rPr>
      <w:b/>
      <w:bCs/>
    </w:rPr>
  </w:style>
  <w:style w:type="character" w:customStyle="1" w:styleId="CommentSubjectChar">
    <w:name w:val="Comment Subject Char"/>
    <w:basedOn w:val="CommentTextChar"/>
    <w:link w:val="CommentSubject"/>
    <w:semiHidden/>
    <w:rsid w:val="007F39DF"/>
    <w:rPr>
      <w:rFonts w:ascii="Garamond" w:hAnsi="Garamon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A8D2E-8E02-F94F-BA30-09DF62296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500</Words>
  <Characters>2853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lpstr>
    </vt:vector>
  </TitlesOfParts>
  <Company>UWC</Company>
  <LinksUpToDate>false</LinksUpToDate>
  <CharactersWithSpaces>3347</CharactersWithSpaces>
  <SharedDoc>false</SharedDoc>
  <HLinks>
    <vt:vector size="6" baseType="variant">
      <vt:variant>
        <vt:i4>2293873</vt:i4>
      </vt:variant>
      <vt:variant>
        <vt:i4>2048</vt:i4>
      </vt:variant>
      <vt:variant>
        <vt:i4>1025</vt:i4>
      </vt:variant>
      <vt:variant>
        <vt:i4>1</vt:i4>
      </vt:variant>
      <vt:variant>
        <vt:lpwstr>handout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Tamara Smith</dc:creator>
  <cp:keywords/>
  <cp:lastModifiedBy>Mia Banuelos</cp:lastModifiedBy>
  <cp:revision>3</cp:revision>
  <cp:lastPrinted>2014-10-14T19:54:00Z</cp:lastPrinted>
  <dcterms:created xsi:type="dcterms:W3CDTF">2020-06-08T21:44:00Z</dcterms:created>
  <dcterms:modified xsi:type="dcterms:W3CDTF">2026-04-02T19:20:00Z</dcterms:modified>
</cp:coreProperties>
</file>